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5A47" w14:textId="58525A80" w:rsidR="0094568A" w:rsidRDefault="007D396F" w:rsidP="007D396F">
      <w:pPr>
        <w:keepLines/>
        <w:tabs>
          <w:tab w:val="left" w:pos="284"/>
        </w:tabs>
        <w:spacing w:line="240" w:lineRule="auto"/>
        <w:ind w:firstLine="34"/>
        <w:contextualSpacing/>
        <w:rPr>
          <w:rFonts w:ascii="Arial" w:hAnsi="Arial" w:cs="Arial"/>
          <w:bCs/>
          <w:noProof/>
        </w:rPr>
      </w:pPr>
      <w:bookmarkStart w:id="0" w:name="_Hlk513984742"/>
      <w:bookmarkStart w:id="1" w:name="_GoBack"/>
      <w:r>
        <w:rPr>
          <w:rFonts w:ascii="Arial" w:hAnsi="Arial" w:cs="Arial"/>
          <w:bCs/>
          <w:noProof/>
        </w:rPr>
        <w:br w:type="textWrapping" w:clear="all"/>
      </w:r>
    </w:p>
    <w:bookmarkEnd w:id="0"/>
    <w:p w14:paraId="68B72712" w14:textId="0A6A6ECF" w:rsidR="0094568A" w:rsidRPr="00DF3F30" w:rsidRDefault="0094568A" w:rsidP="007D396F">
      <w:pPr>
        <w:spacing w:after="0" w:line="240" w:lineRule="auto"/>
        <w:rPr>
          <w:color w:val="002060"/>
        </w:rPr>
      </w:pPr>
      <w:r w:rsidRPr="00DF3F30">
        <w:rPr>
          <w:rFonts w:ascii="Arial" w:hAnsi="Arial" w:cs="Arial"/>
          <w:bCs/>
          <w:color w:val="002060"/>
          <w:rtl/>
        </w:rPr>
        <w:t>תאריך</w:t>
      </w:r>
      <w:r w:rsidRPr="00DF3F30">
        <w:rPr>
          <w:rFonts w:ascii="Arial" w:eastAsia="Arial" w:hAnsi="Arial" w:cs="Arial"/>
          <w:bCs/>
          <w:color w:val="002060"/>
          <w:rtl/>
        </w:rPr>
        <w:t xml:space="preserve"> </w:t>
      </w:r>
      <w:r w:rsidRPr="00DF3F30">
        <w:rPr>
          <w:rFonts w:ascii="Arial" w:hAnsi="Arial" w:cs="Arial"/>
          <w:bCs/>
          <w:color w:val="002060"/>
          <w:rtl/>
        </w:rPr>
        <w:t xml:space="preserve">עדכון: </w:t>
      </w:r>
      <w:r w:rsidR="007D396F">
        <w:rPr>
          <w:rFonts w:ascii="Arial" w:hAnsi="Arial" w:cs="Arial" w:hint="cs"/>
          <w:color w:val="002060"/>
          <w:rtl/>
        </w:rPr>
        <w:t>22.4.20</w:t>
      </w:r>
    </w:p>
    <w:p w14:paraId="5C757F95" w14:textId="77777777" w:rsidR="007D396F" w:rsidRDefault="007D396F" w:rsidP="0094568A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sz w:val="24"/>
          <w:szCs w:val="24"/>
        </w:rPr>
      </w:pPr>
    </w:p>
    <w:p w14:paraId="5A21ADA4" w14:textId="77777777" w:rsidR="007D396F" w:rsidRDefault="007D396F" w:rsidP="0094568A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sz w:val="24"/>
          <w:szCs w:val="24"/>
        </w:rPr>
      </w:pPr>
    </w:p>
    <w:p w14:paraId="614152F0" w14:textId="77777777" w:rsidR="007D396F" w:rsidRPr="00871869" w:rsidRDefault="007D396F" w:rsidP="0094568A">
      <w:pPr>
        <w:keepLines/>
        <w:tabs>
          <w:tab w:val="left" w:pos="284"/>
        </w:tabs>
        <w:contextualSpacing/>
        <w:jc w:val="center"/>
        <w:rPr>
          <w:rFonts w:ascii="Arial" w:hAnsi="Arial" w:cs="Arial"/>
          <w:b/>
          <w:bCs/>
          <w:color w:val="002060"/>
          <w:sz w:val="36"/>
          <w:szCs w:val="36"/>
          <w:rtl/>
        </w:rPr>
      </w:pPr>
      <w:r w:rsidRPr="00871869">
        <w:rPr>
          <w:b/>
          <w:bCs/>
          <w:sz w:val="32"/>
          <w:szCs w:val="32"/>
          <w:rtl/>
        </w:rPr>
        <w:t>חופש העיתונות בשגרה ובחירום: אתגרי העידן הדיגיטלי</w:t>
      </w:r>
    </w:p>
    <w:p w14:paraId="5F9E5593" w14:textId="77777777" w:rsidR="005F213F" w:rsidRDefault="00E2336A" w:rsidP="008A5A5F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sz w:val="24"/>
          <w:szCs w:val="24"/>
        </w:rPr>
      </w:pPr>
      <w:r w:rsidRPr="008A5A5F">
        <w:rPr>
          <w:rFonts w:ascii="Arial" w:hAnsi="Arial" w:cs="Arial" w:hint="cs"/>
          <w:bCs/>
          <w:color w:val="002060"/>
          <w:sz w:val="24"/>
          <w:szCs w:val="24"/>
        </w:rPr>
        <w:t>T</w:t>
      </w:r>
      <w:r w:rsidRPr="008A5A5F">
        <w:rPr>
          <w:rFonts w:ascii="Arial" w:hAnsi="Arial" w:cs="Arial"/>
          <w:bCs/>
          <w:color w:val="002060"/>
          <w:sz w:val="24"/>
          <w:szCs w:val="24"/>
        </w:rPr>
        <w:t xml:space="preserve">he </w:t>
      </w:r>
      <w:r w:rsidR="00F61793" w:rsidRPr="008A5A5F">
        <w:rPr>
          <w:rFonts w:ascii="Arial" w:hAnsi="Arial" w:cs="Arial"/>
          <w:bCs/>
          <w:color w:val="002060"/>
          <w:sz w:val="24"/>
          <w:szCs w:val="24"/>
        </w:rPr>
        <w:t>Freedom of the Press</w:t>
      </w:r>
      <w:r w:rsidR="008A5A5F" w:rsidRPr="008A5A5F">
        <w:rPr>
          <w:rFonts w:ascii="Arial" w:hAnsi="Arial" w:cs="Arial"/>
          <w:bCs/>
          <w:color w:val="002060"/>
          <w:sz w:val="24"/>
          <w:szCs w:val="24"/>
        </w:rPr>
        <w:t xml:space="preserve"> during Routine and Emergencies</w:t>
      </w:r>
    </w:p>
    <w:p w14:paraId="4A4108F6" w14:textId="639E2538" w:rsidR="0094568A" w:rsidRPr="00D104C1" w:rsidRDefault="005F213F" w:rsidP="008A5A5F">
      <w:pPr>
        <w:keepLines/>
        <w:tabs>
          <w:tab w:val="left" w:pos="284"/>
        </w:tabs>
        <w:contextualSpacing/>
        <w:jc w:val="center"/>
        <w:rPr>
          <w:rFonts w:ascii="Arial" w:hAnsi="Arial" w:cs="Arial"/>
          <w:bCs/>
          <w:color w:val="002060"/>
          <w:sz w:val="24"/>
          <w:szCs w:val="24"/>
        </w:rPr>
      </w:pPr>
      <w:r>
        <w:rPr>
          <w:rFonts w:ascii="Arial" w:hAnsi="Arial" w:cs="Arial"/>
          <w:bCs/>
          <w:color w:val="002060"/>
          <w:sz w:val="24"/>
          <w:szCs w:val="24"/>
        </w:rPr>
        <w:t>71-047-01</w:t>
      </w:r>
      <w:r w:rsidR="008A5A5F" w:rsidRPr="008A5A5F">
        <w:rPr>
          <w:rFonts w:ascii="Arial" w:hAnsi="Arial" w:cs="Arial"/>
          <w:bCs/>
          <w:color w:val="002060"/>
          <w:sz w:val="24"/>
          <w:szCs w:val="24"/>
        </w:rPr>
        <w:t xml:space="preserve"> </w:t>
      </w:r>
      <w:r w:rsidR="00F61793" w:rsidRPr="008A5A5F">
        <w:rPr>
          <w:rFonts w:ascii="Arial" w:hAnsi="Arial" w:cs="Arial"/>
          <w:bCs/>
          <w:color w:val="002060"/>
          <w:sz w:val="24"/>
          <w:szCs w:val="24"/>
        </w:rPr>
        <w:t xml:space="preserve"> </w:t>
      </w:r>
    </w:p>
    <w:p w14:paraId="3C019AF0" w14:textId="77777777" w:rsidR="0094568A" w:rsidRPr="00CA574E" w:rsidRDefault="002B4209" w:rsidP="002B4209">
      <w:pPr>
        <w:pStyle w:val="1"/>
        <w:tabs>
          <w:tab w:val="left" w:pos="284"/>
        </w:tabs>
        <w:bidi/>
        <w:spacing w:before="0" w:line="240" w:lineRule="auto"/>
        <w:contextualSpacing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מרצה: </w:t>
      </w:r>
      <w:r w:rsidR="0094568A" w:rsidRPr="00CA574E">
        <w:rPr>
          <w:rFonts w:ascii="Arial" w:hAnsi="Arial" w:cs="Arial" w:hint="cs"/>
          <w:b/>
          <w:bCs/>
          <w:color w:val="002060"/>
          <w:sz w:val="28"/>
          <w:szCs w:val="28"/>
          <w:rtl/>
        </w:rPr>
        <w:t>פרופ' מוטי נייגר</w:t>
      </w:r>
    </w:p>
    <w:p w14:paraId="24A1AD4D" w14:textId="77422C01" w:rsidR="0094568A" w:rsidRPr="00D104C1" w:rsidRDefault="0094568A" w:rsidP="0094568A">
      <w:pPr>
        <w:keepLines/>
        <w:tabs>
          <w:tab w:val="left" w:pos="284"/>
        </w:tabs>
        <w:spacing w:line="240" w:lineRule="auto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  <w:rtl/>
        </w:rPr>
      </w:pPr>
      <w:r w:rsidRPr="00D104C1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קורס</w:t>
      </w:r>
      <w:r w:rsidR="002B4209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בחירה</w:t>
      </w:r>
      <w:r w:rsidRPr="00D104C1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סמסטריאלי לסטודנטים בתואר השני בתקשורת, תש</w:t>
      </w:r>
      <w:r w:rsidR="00871869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פ"א</w:t>
      </w:r>
    </w:p>
    <w:p w14:paraId="69821AB8" w14:textId="77777777" w:rsidR="0094568A" w:rsidRDefault="0094568A" w:rsidP="00F34CAB">
      <w:pPr>
        <w:bidi/>
        <w:spacing w:after="0" w:line="240" w:lineRule="auto"/>
        <w:rPr>
          <w:rFonts w:ascii="Arial" w:hAnsi="Arial" w:cs="Arial"/>
          <w:b/>
          <w:bCs/>
          <w:rtl/>
        </w:rPr>
      </w:pPr>
    </w:p>
    <w:p w14:paraId="3F47E414" w14:textId="77777777" w:rsidR="0094568A" w:rsidRDefault="0094568A" w:rsidP="00263C01">
      <w:pPr>
        <w:bidi/>
        <w:spacing w:after="0" w:line="240" w:lineRule="auto"/>
        <w:rPr>
          <w:rtl/>
        </w:rPr>
      </w:pPr>
      <w:r>
        <w:rPr>
          <w:rFonts w:ascii="Arial" w:hAnsi="Arial" w:cs="Arial"/>
          <w:b/>
          <w:bCs/>
          <w:rtl/>
        </w:rPr>
        <w:t xml:space="preserve">אתר הקורס באינטרנט: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lemida.biu.ac.il</w:t>
      </w:r>
    </w:p>
    <w:p w14:paraId="4405A7EF" w14:textId="0B7E7E8F" w:rsidR="0094568A" w:rsidRDefault="0094568A" w:rsidP="00871869">
      <w:pPr>
        <w:tabs>
          <w:tab w:val="left" w:pos="284"/>
        </w:tabs>
        <w:bidi/>
        <w:spacing w:after="0" w:line="240" w:lineRule="auto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  <w:rtl/>
        </w:rPr>
        <w:t>שעת הקורס</w:t>
      </w:r>
      <w:r>
        <w:rPr>
          <w:rFonts w:ascii="Arial" w:hAnsi="Arial" w:cs="Arial"/>
          <w:rtl/>
        </w:rPr>
        <w:t xml:space="preserve">: </w:t>
      </w:r>
      <w:r w:rsidR="00871869" w:rsidRPr="00871869">
        <w:rPr>
          <w:rFonts w:ascii="Arial" w:hAnsi="Arial" w:cs="Arial" w:hint="cs"/>
          <w:highlight w:val="red"/>
        </w:rPr>
        <w:t>XXXX</w:t>
      </w:r>
    </w:p>
    <w:p w14:paraId="28085F68" w14:textId="77777777" w:rsidR="0094568A" w:rsidRPr="00824C6F" w:rsidRDefault="0094568A" w:rsidP="00263C01">
      <w:pPr>
        <w:tabs>
          <w:tab w:val="left" w:pos="284"/>
        </w:tabs>
        <w:bidi/>
        <w:spacing w:after="0" w:line="240" w:lineRule="auto"/>
        <w:rPr>
          <w:rFonts w:ascii="Arial" w:hAnsi="Arial" w:cs="Arial"/>
          <w:highlight w:val="yellow"/>
          <w:rtl/>
        </w:rPr>
      </w:pPr>
      <w:r w:rsidRPr="001A6FCE">
        <w:rPr>
          <w:rFonts w:ascii="Arial" w:hAnsi="Arial" w:cs="Arial" w:hint="cs"/>
          <w:b/>
          <w:bCs/>
          <w:rtl/>
        </w:rPr>
        <w:t>מיקום הקורס</w:t>
      </w:r>
      <w:r w:rsidRPr="001A6FCE">
        <w:rPr>
          <w:rFonts w:ascii="Arial" w:hAnsi="Arial" w:cs="Arial" w:hint="cs"/>
          <w:rtl/>
        </w:rPr>
        <w:t xml:space="preserve">: </w:t>
      </w:r>
      <w:bookmarkEnd w:id="1"/>
      <w:r w:rsidR="001A6FCE">
        <w:rPr>
          <w:rFonts w:ascii="Arial" w:hAnsi="Arial" w:cs="Arial" w:hint="cs"/>
          <w:rtl/>
        </w:rPr>
        <w:t>ייקבע בהמשך.</w:t>
      </w:r>
    </w:p>
    <w:p w14:paraId="6440DB9E" w14:textId="69BE4D1C" w:rsidR="0094568A" w:rsidRDefault="0094568A" w:rsidP="00263C01">
      <w:pPr>
        <w:tabs>
          <w:tab w:val="left" w:pos="284"/>
        </w:tabs>
        <w:bidi/>
        <w:spacing w:after="0" w:line="240" w:lineRule="auto"/>
      </w:pPr>
      <w:r>
        <w:rPr>
          <w:rFonts w:ascii="Arial" w:hAnsi="Arial" w:cs="Arial"/>
          <w:b/>
          <w:bCs/>
          <w:rtl/>
        </w:rPr>
        <w:t>שעת קבלה</w:t>
      </w:r>
      <w:r>
        <w:rPr>
          <w:rFonts w:ascii="Arial" w:hAnsi="Arial" w:cs="Arial"/>
          <w:rtl/>
        </w:rPr>
        <w:t xml:space="preserve">: </w:t>
      </w:r>
      <w:r w:rsidR="00BC0099">
        <w:rPr>
          <w:rFonts w:ascii="Arial" w:hAnsi="Arial" w:cs="Arial" w:hint="cs"/>
          <w:rtl/>
        </w:rPr>
        <w:t>בתאום מראש</w:t>
      </w:r>
      <w:r w:rsidR="00F3247A">
        <w:rPr>
          <w:rFonts w:ascii="Arial" w:hAnsi="Arial" w:cs="Arial" w:hint="cs"/>
          <w:rtl/>
        </w:rPr>
        <w:t>.</w:t>
      </w:r>
    </w:p>
    <w:p w14:paraId="27361723" w14:textId="797E862D" w:rsidR="0094568A" w:rsidRDefault="0094568A" w:rsidP="00263C01">
      <w:pPr>
        <w:tabs>
          <w:tab w:val="left" w:pos="284"/>
        </w:tabs>
        <w:bidi/>
        <w:spacing w:after="0" w:line="24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דוא"ל</w:t>
      </w:r>
      <w:r>
        <w:rPr>
          <w:rFonts w:ascii="Arial" w:hAnsi="Arial" w:cs="Arial"/>
          <w:rtl/>
        </w:rPr>
        <w:t xml:space="preserve">: </w:t>
      </w:r>
      <w:r w:rsidR="00BC0099">
        <w:rPr>
          <w:rFonts w:ascii="Arial" w:hAnsi="Arial" w:cs="Arial"/>
        </w:rPr>
        <w:t>motti.neiger@biu.ac.il</w:t>
      </w:r>
    </w:p>
    <w:p w14:paraId="61227247" w14:textId="77777777" w:rsidR="00F3247A" w:rsidRDefault="00F3247A" w:rsidP="0094568A">
      <w:pPr>
        <w:bidi/>
        <w:rPr>
          <w:b/>
          <w:bCs/>
          <w:sz w:val="24"/>
          <w:szCs w:val="24"/>
          <w:rtl/>
        </w:rPr>
      </w:pPr>
    </w:p>
    <w:p w14:paraId="01870276" w14:textId="77777777" w:rsidR="00DB33AA" w:rsidRPr="00AC7009" w:rsidRDefault="00441C3D" w:rsidP="00BE75E4">
      <w:pPr>
        <w:bidi/>
        <w:spacing w:after="0" w:line="240" w:lineRule="auto"/>
        <w:ind w:left="-291"/>
        <w:rPr>
          <w:sz w:val="24"/>
          <w:szCs w:val="24"/>
          <w:rtl/>
        </w:rPr>
      </w:pPr>
      <w:bookmarkStart w:id="2" w:name="_Hlk514007626"/>
      <w:r w:rsidRPr="00360BD7">
        <w:rPr>
          <w:rFonts w:hint="cs"/>
          <w:b/>
          <w:bCs/>
          <w:sz w:val="24"/>
          <w:szCs w:val="24"/>
          <w:rtl/>
        </w:rPr>
        <w:t>ת</w:t>
      </w:r>
      <w:r w:rsidR="007B58FF" w:rsidRPr="00360BD7">
        <w:rPr>
          <w:rFonts w:hint="cs"/>
          <w:b/>
          <w:bCs/>
          <w:sz w:val="24"/>
          <w:szCs w:val="24"/>
          <w:rtl/>
        </w:rPr>
        <w:t>י</w:t>
      </w:r>
      <w:r w:rsidRPr="00360BD7">
        <w:rPr>
          <w:rFonts w:hint="cs"/>
          <w:b/>
          <w:bCs/>
          <w:sz w:val="24"/>
          <w:szCs w:val="24"/>
          <w:rtl/>
        </w:rPr>
        <w:t xml:space="preserve">אור </w:t>
      </w:r>
      <w:r w:rsidR="00406FDF">
        <w:rPr>
          <w:rFonts w:hint="cs"/>
          <w:b/>
          <w:bCs/>
          <w:sz w:val="24"/>
          <w:szCs w:val="24"/>
          <w:rtl/>
        </w:rPr>
        <w:t xml:space="preserve">תוכן </w:t>
      </w:r>
      <w:r w:rsidRPr="00360BD7">
        <w:rPr>
          <w:rFonts w:hint="cs"/>
          <w:b/>
          <w:bCs/>
          <w:sz w:val="24"/>
          <w:szCs w:val="24"/>
          <w:rtl/>
        </w:rPr>
        <w:t>הקורס</w:t>
      </w:r>
      <w:r w:rsidRPr="00AC7009">
        <w:rPr>
          <w:rFonts w:hint="cs"/>
          <w:sz w:val="24"/>
          <w:szCs w:val="24"/>
          <w:rtl/>
        </w:rPr>
        <w:t>:</w:t>
      </w:r>
    </w:p>
    <w:p w14:paraId="3376153A" w14:textId="77777777" w:rsidR="00406FDF" w:rsidRDefault="001B458F" w:rsidP="00BE75E4">
      <w:pPr>
        <w:bidi/>
        <w:spacing w:after="0" w:line="240" w:lineRule="auto"/>
        <w:jc w:val="both"/>
        <w:rPr>
          <w:sz w:val="24"/>
          <w:szCs w:val="24"/>
          <w:rtl/>
        </w:rPr>
      </w:pPr>
      <w:r w:rsidRPr="00AC7009">
        <w:rPr>
          <w:rFonts w:hint="cs"/>
          <w:sz w:val="24"/>
          <w:szCs w:val="24"/>
          <w:rtl/>
        </w:rPr>
        <w:t>חופש העיתונות וחופש ה</w:t>
      </w:r>
      <w:r w:rsidR="009835FE">
        <w:rPr>
          <w:rFonts w:hint="cs"/>
          <w:sz w:val="24"/>
          <w:szCs w:val="24"/>
          <w:rtl/>
        </w:rPr>
        <w:t xml:space="preserve">ביטוי </w:t>
      </w:r>
      <w:r w:rsidRPr="00AC7009">
        <w:rPr>
          <w:rFonts w:hint="cs"/>
          <w:sz w:val="24"/>
          <w:szCs w:val="24"/>
          <w:rtl/>
        </w:rPr>
        <w:t xml:space="preserve">הם נשמת אפה של החברה הדמוקרטית, </w:t>
      </w:r>
      <w:r w:rsidR="0036405D" w:rsidRPr="00AC7009">
        <w:rPr>
          <w:rFonts w:hint="cs"/>
          <w:sz w:val="24"/>
          <w:szCs w:val="24"/>
          <w:rtl/>
        </w:rPr>
        <w:t>כ</w:t>
      </w:r>
      <w:r w:rsidRPr="00AC7009">
        <w:rPr>
          <w:rFonts w:hint="cs"/>
          <w:sz w:val="24"/>
          <w:szCs w:val="24"/>
          <w:rtl/>
        </w:rPr>
        <w:t>תנאי יסוד לקיו</w:t>
      </w:r>
      <w:r w:rsidR="0036405D" w:rsidRPr="00AC7009">
        <w:rPr>
          <w:rFonts w:hint="cs"/>
          <w:sz w:val="24"/>
          <w:szCs w:val="24"/>
          <w:rtl/>
        </w:rPr>
        <w:t>מה ולפעולתה.</w:t>
      </w:r>
      <w:r w:rsidR="009835FE">
        <w:rPr>
          <w:rFonts w:hint="cs"/>
          <w:sz w:val="24"/>
          <w:szCs w:val="24"/>
          <w:rtl/>
        </w:rPr>
        <w:t xml:space="preserve"> בעידן הדיגיטלי נראה שגדל</w:t>
      </w:r>
      <w:r w:rsidR="00DA6DCC">
        <w:rPr>
          <w:rFonts w:hint="cs"/>
          <w:sz w:val="24"/>
          <w:szCs w:val="24"/>
          <w:rtl/>
        </w:rPr>
        <w:t xml:space="preserve"> חופש הביטוי</w:t>
      </w:r>
      <w:r w:rsidR="0090799A">
        <w:rPr>
          <w:rFonts w:hint="cs"/>
          <w:sz w:val="24"/>
          <w:szCs w:val="24"/>
          <w:rtl/>
        </w:rPr>
        <w:t xml:space="preserve">  אך </w:t>
      </w:r>
      <w:r w:rsidR="00DA6DCC">
        <w:rPr>
          <w:rFonts w:hint="cs"/>
          <w:sz w:val="24"/>
          <w:szCs w:val="24"/>
          <w:rtl/>
        </w:rPr>
        <w:t>במקביל עולים אתגרים חדשים</w:t>
      </w:r>
      <w:r w:rsidR="0090799A">
        <w:rPr>
          <w:rFonts w:hint="cs"/>
          <w:sz w:val="24"/>
          <w:szCs w:val="24"/>
          <w:rtl/>
        </w:rPr>
        <w:t>, הנובעים מהצפה במידע</w:t>
      </w:r>
      <w:r w:rsidR="00DA6DCC">
        <w:rPr>
          <w:rFonts w:hint="cs"/>
          <w:sz w:val="24"/>
          <w:szCs w:val="24"/>
          <w:rtl/>
        </w:rPr>
        <w:t>.</w:t>
      </w:r>
      <w:r w:rsidR="00782805">
        <w:rPr>
          <w:rFonts w:hint="cs"/>
          <w:sz w:val="24"/>
          <w:szCs w:val="24"/>
          <w:rtl/>
        </w:rPr>
        <w:t xml:space="preserve"> בקורס נעקוב אחר התפתחות יחסי הכוח בין התקשורת לשחקנים אחרים</w:t>
      </w:r>
      <w:r w:rsidR="00C967B5">
        <w:rPr>
          <w:rFonts w:hint="cs"/>
          <w:sz w:val="24"/>
          <w:szCs w:val="24"/>
          <w:rtl/>
        </w:rPr>
        <w:t xml:space="preserve"> במגרש הפוליטי-משפטי-כלכלי,</w:t>
      </w:r>
      <w:r w:rsidR="00782805">
        <w:rPr>
          <w:rFonts w:hint="cs"/>
          <w:sz w:val="24"/>
          <w:szCs w:val="24"/>
          <w:rtl/>
        </w:rPr>
        <w:t xml:space="preserve"> ונעמוד על השאלות החדשות שצצות </w:t>
      </w:r>
      <w:r w:rsidR="00C967B5">
        <w:rPr>
          <w:rFonts w:hint="cs"/>
          <w:sz w:val="24"/>
          <w:szCs w:val="24"/>
          <w:rtl/>
        </w:rPr>
        <w:t xml:space="preserve">בהקשר זה </w:t>
      </w:r>
      <w:r w:rsidR="00782805">
        <w:rPr>
          <w:rFonts w:hint="cs"/>
          <w:sz w:val="24"/>
          <w:szCs w:val="24"/>
          <w:rtl/>
        </w:rPr>
        <w:t xml:space="preserve">לנוכח </w:t>
      </w:r>
      <w:r w:rsidR="00C967B5">
        <w:rPr>
          <w:rFonts w:hint="cs"/>
          <w:sz w:val="24"/>
          <w:szCs w:val="24"/>
          <w:rtl/>
        </w:rPr>
        <w:t xml:space="preserve">העידן הדיגיטלי. </w:t>
      </w:r>
      <w:r w:rsidR="00DA6DCC">
        <w:rPr>
          <w:rFonts w:hint="cs"/>
          <w:sz w:val="24"/>
          <w:szCs w:val="24"/>
          <w:rtl/>
        </w:rPr>
        <w:t xml:space="preserve">  </w:t>
      </w:r>
    </w:p>
    <w:p w14:paraId="541919ED" w14:textId="77777777" w:rsidR="00406FDF" w:rsidRPr="009D4642" w:rsidRDefault="00406FDF" w:rsidP="00BE75E4">
      <w:pPr>
        <w:bidi/>
        <w:spacing w:before="120" w:after="0" w:line="240" w:lineRule="auto"/>
        <w:ind w:left="-289"/>
        <w:jc w:val="both"/>
        <w:rPr>
          <w:b/>
          <w:bCs/>
          <w:sz w:val="24"/>
          <w:szCs w:val="24"/>
          <w:rtl/>
        </w:rPr>
      </w:pPr>
      <w:r w:rsidRPr="009D4642">
        <w:rPr>
          <w:rFonts w:hint="cs"/>
          <w:b/>
          <w:bCs/>
          <w:sz w:val="24"/>
          <w:szCs w:val="24"/>
          <w:rtl/>
        </w:rPr>
        <w:t>מטרות הקורס</w:t>
      </w:r>
      <w:r w:rsidR="005F6AEB">
        <w:rPr>
          <w:rFonts w:hint="cs"/>
          <w:b/>
          <w:bCs/>
          <w:sz w:val="24"/>
          <w:szCs w:val="24"/>
          <w:rtl/>
        </w:rPr>
        <w:t xml:space="preserve">, </w:t>
      </w:r>
      <w:r w:rsidR="000E233B">
        <w:rPr>
          <w:rFonts w:hint="cs"/>
          <w:b/>
          <w:bCs/>
          <w:sz w:val="24"/>
          <w:szCs w:val="24"/>
          <w:rtl/>
        </w:rPr>
        <w:t>תוצרים אקדמיים</w:t>
      </w:r>
      <w:r w:rsidR="005F6AEB">
        <w:rPr>
          <w:rFonts w:hint="cs"/>
          <w:b/>
          <w:bCs/>
          <w:sz w:val="24"/>
          <w:szCs w:val="24"/>
          <w:rtl/>
        </w:rPr>
        <w:t xml:space="preserve">, כלים ויכולות שיעמדו לרשות הסטודנטים בסוף הקורס: </w:t>
      </w:r>
      <w:r w:rsidR="009D4642" w:rsidRPr="009D4642">
        <w:rPr>
          <w:rFonts w:hint="cs"/>
          <w:b/>
          <w:bCs/>
          <w:sz w:val="24"/>
          <w:szCs w:val="24"/>
          <w:rtl/>
        </w:rPr>
        <w:t xml:space="preserve"> </w:t>
      </w:r>
      <w:r w:rsidRPr="009D4642">
        <w:rPr>
          <w:rFonts w:hint="cs"/>
          <w:b/>
          <w:bCs/>
          <w:sz w:val="24"/>
          <w:szCs w:val="24"/>
          <w:rtl/>
        </w:rPr>
        <w:t xml:space="preserve"> </w:t>
      </w:r>
    </w:p>
    <w:p w14:paraId="620485DB" w14:textId="77777777" w:rsidR="00167205" w:rsidRPr="00F3247A" w:rsidRDefault="00406FDF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 xml:space="preserve">להכיר את </w:t>
      </w:r>
      <w:r w:rsidR="004550BE" w:rsidRPr="00F3247A">
        <w:rPr>
          <w:rFonts w:hint="cs"/>
          <w:sz w:val="24"/>
          <w:szCs w:val="24"/>
          <w:rtl/>
        </w:rPr>
        <w:t xml:space="preserve"> </w:t>
      </w:r>
      <w:r w:rsidR="00E80D33" w:rsidRPr="00F3247A">
        <w:rPr>
          <w:rFonts w:hint="cs"/>
          <w:sz w:val="24"/>
          <w:szCs w:val="24"/>
          <w:rtl/>
        </w:rPr>
        <w:t xml:space="preserve">המודלים השונים ליחסי גומלין בין </w:t>
      </w:r>
      <w:r w:rsidR="0036405D" w:rsidRPr="00F3247A">
        <w:rPr>
          <w:rFonts w:hint="cs"/>
          <w:sz w:val="24"/>
          <w:szCs w:val="24"/>
          <w:rtl/>
        </w:rPr>
        <w:t xml:space="preserve">התקשורת </w:t>
      </w:r>
      <w:r w:rsidR="00E80D33" w:rsidRPr="00F3247A">
        <w:rPr>
          <w:rFonts w:hint="cs"/>
          <w:sz w:val="24"/>
          <w:szCs w:val="24"/>
          <w:rtl/>
        </w:rPr>
        <w:t>ל</w:t>
      </w:r>
      <w:r w:rsidR="0036405D" w:rsidRPr="00F3247A">
        <w:rPr>
          <w:rFonts w:hint="cs"/>
          <w:sz w:val="24"/>
          <w:szCs w:val="24"/>
          <w:rtl/>
        </w:rPr>
        <w:t>בין מוסדות אחרים בחברה</w:t>
      </w:r>
      <w:r w:rsidR="00167205" w:rsidRPr="00F3247A">
        <w:rPr>
          <w:rFonts w:hint="cs"/>
          <w:sz w:val="24"/>
          <w:szCs w:val="24"/>
          <w:rtl/>
        </w:rPr>
        <w:t xml:space="preserve"> (</w:t>
      </w:r>
      <w:r w:rsidR="0036405D" w:rsidRPr="00F3247A">
        <w:rPr>
          <w:rFonts w:hint="cs"/>
          <w:sz w:val="24"/>
          <w:szCs w:val="24"/>
          <w:rtl/>
        </w:rPr>
        <w:t xml:space="preserve">בעיקר </w:t>
      </w:r>
      <w:r w:rsidR="004550BE" w:rsidRPr="00F3247A">
        <w:rPr>
          <w:rFonts w:hint="cs"/>
          <w:sz w:val="24"/>
          <w:szCs w:val="24"/>
          <w:rtl/>
        </w:rPr>
        <w:t xml:space="preserve">מול </w:t>
      </w:r>
      <w:r w:rsidR="0036405D" w:rsidRPr="00F3247A">
        <w:rPr>
          <w:rFonts w:hint="cs"/>
          <w:sz w:val="24"/>
          <w:szCs w:val="24"/>
          <w:rtl/>
        </w:rPr>
        <w:t>המוסד הפוליטי</w:t>
      </w:r>
      <w:r w:rsidR="003B59E6" w:rsidRPr="00F3247A">
        <w:rPr>
          <w:rFonts w:hint="cs"/>
          <w:sz w:val="24"/>
          <w:szCs w:val="24"/>
          <w:rtl/>
        </w:rPr>
        <w:t>, הלחצים הכלכליים</w:t>
      </w:r>
      <w:r w:rsidR="0036405D" w:rsidRPr="00F3247A">
        <w:rPr>
          <w:rFonts w:hint="cs"/>
          <w:sz w:val="24"/>
          <w:szCs w:val="24"/>
          <w:rtl/>
        </w:rPr>
        <w:t xml:space="preserve"> והמוסד המשפטי</w:t>
      </w:r>
      <w:r w:rsidR="00167205" w:rsidRPr="00F3247A">
        <w:rPr>
          <w:rFonts w:hint="cs"/>
          <w:sz w:val="24"/>
          <w:szCs w:val="24"/>
          <w:rtl/>
        </w:rPr>
        <w:t>)</w:t>
      </w:r>
    </w:p>
    <w:p w14:paraId="6290022A" w14:textId="77777777" w:rsidR="00167205" w:rsidRPr="00F3247A" w:rsidRDefault="0016720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</w:t>
      </w:r>
      <w:r w:rsidR="000E233B">
        <w:rPr>
          <w:rFonts w:hint="cs"/>
          <w:sz w:val="24"/>
          <w:szCs w:val="24"/>
          <w:rtl/>
        </w:rPr>
        <w:t xml:space="preserve">תאר את </w:t>
      </w:r>
      <w:r w:rsidR="0036405D" w:rsidRPr="00F3247A">
        <w:rPr>
          <w:rFonts w:hint="cs"/>
          <w:sz w:val="24"/>
          <w:szCs w:val="24"/>
          <w:rtl/>
        </w:rPr>
        <w:t>התפ</w:t>
      </w:r>
      <w:r w:rsidR="00E80D33" w:rsidRPr="00F3247A">
        <w:rPr>
          <w:rFonts w:hint="cs"/>
          <w:sz w:val="24"/>
          <w:szCs w:val="24"/>
          <w:rtl/>
        </w:rPr>
        <w:t>תחות ערכי חופש הביטוי וחופש העיתונות בעולם</w:t>
      </w:r>
      <w:r w:rsidRPr="00F3247A">
        <w:rPr>
          <w:rFonts w:hint="cs"/>
          <w:sz w:val="24"/>
          <w:szCs w:val="24"/>
          <w:rtl/>
        </w:rPr>
        <w:t xml:space="preserve"> ובישראל, תוך הכרות עם </w:t>
      </w:r>
      <w:r w:rsidR="000D35D8" w:rsidRPr="00F3247A">
        <w:rPr>
          <w:rFonts w:hint="cs"/>
          <w:sz w:val="24"/>
          <w:szCs w:val="24"/>
          <w:rtl/>
        </w:rPr>
        <w:t>ה</w:t>
      </w:r>
      <w:r w:rsidR="002C0E87" w:rsidRPr="00F3247A">
        <w:rPr>
          <w:rFonts w:hint="cs"/>
          <w:sz w:val="24"/>
          <w:szCs w:val="24"/>
          <w:rtl/>
        </w:rPr>
        <w:t xml:space="preserve">תהליכים </w:t>
      </w:r>
      <w:r w:rsidR="000D35D8" w:rsidRPr="00F3247A">
        <w:rPr>
          <w:rFonts w:hint="cs"/>
          <w:sz w:val="24"/>
          <w:szCs w:val="24"/>
          <w:rtl/>
        </w:rPr>
        <w:t>שעיצבו אותו לאורך השנים ואת החוקים והפסיקות שהגדירו אותו</w:t>
      </w:r>
      <w:r w:rsidR="00E848E7" w:rsidRPr="00F3247A">
        <w:rPr>
          <w:rFonts w:hint="cs"/>
          <w:sz w:val="24"/>
          <w:szCs w:val="24"/>
          <w:rtl/>
        </w:rPr>
        <w:t xml:space="preserve">; </w:t>
      </w:r>
    </w:p>
    <w:p w14:paraId="49AFFCC5" w14:textId="77777777" w:rsidR="00167205" w:rsidRPr="00F3247A" w:rsidRDefault="0016720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</w:t>
      </w:r>
      <w:r w:rsidR="00E848E7" w:rsidRPr="00F3247A">
        <w:rPr>
          <w:rFonts w:hint="cs"/>
          <w:sz w:val="24"/>
          <w:szCs w:val="24"/>
          <w:rtl/>
        </w:rPr>
        <w:t>בח</w:t>
      </w:r>
      <w:r w:rsidR="00C967B5" w:rsidRPr="00F3247A">
        <w:rPr>
          <w:rFonts w:hint="cs"/>
          <w:sz w:val="24"/>
          <w:szCs w:val="24"/>
          <w:rtl/>
        </w:rPr>
        <w:t>ו</w:t>
      </w:r>
      <w:r w:rsidR="00E848E7" w:rsidRPr="00F3247A">
        <w:rPr>
          <w:rFonts w:hint="cs"/>
          <w:sz w:val="24"/>
          <w:szCs w:val="24"/>
          <w:rtl/>
        </w:rPr>
        <w:t>ן את חופש הביטוי</w:t>
      </w:r>
      <w:r w:rsidR="00975BD4" w:rsidRPr="00F3247A">
        <w:rPr>
          <w:rFonts w:hint="cs"/>
          <w:sz w:val="24"/>
          <w:szCs w:val="24"/>
          <w:rtl/>
        </w:rPr>
        <w:t xml:space="preserve"> וחופש העיתונות</w:t>
      </w:r>
      <w:r w:rsidR="00E848E7" w:rsidRPr="00F3247A">
        <w:rPr>
          <w:rFonts w:hint="cs"/>
          <w:sz w:val="24"/>
          <w:szCs w:val="24"/>
          <w:rtl/>
        </w:rPr>
        <w:t xml:space="preserve"> מול </w:t>
      </w:r>
      <w:r w:rsidR="002F7B7A" w:rsidRPr="00F3247A">
        <w:rPr>
          <w:rFonts w:hint="cs"/>
          <w:sz w:val="24"/>
          <w:szCs w:val="24"/>
          <w:rtl/>
        </w:rPr>
        <w:t>ערכים חברתיים אחרים (ערכי בטחון, זכויות הפרט)</w:t>
      </w:r>
      <w:r w:rsidRPr="00F3247A">
        <w:rPr>
          <w:rFonts w:hint="cs"/>
          <w:sz w:val="24"/>
          <w:szCs w:val="24"/>
          <w:rtl/>
        </w:rPr>
        <w:t>, והאתגרים העולים מהעידן הדיגיטלי.</w:t>
      </w:r>
    </w:p>
    <w:p w14:paraId="7F80E08A" w14:textId="77777777" w:rsidR="009D4642" w:rsidRPr="00F3247A" w:rsidRDefault="00C967B5" w:rsidP="00F3247A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  <w:rPr>
          <w:sz w:val="24"/>
          <w:szCs w:val="24"/>
          <w:rtl/>
        </w:rPr>
      </w:pPr>
      <w:r w:rsidRPr="00F3247A">
        <w:rPr>
          <w:rFonts w:hint="cs"/>
          <w:sz w:val="24"/>
          <w:szCs w:val="24"/>
          <w:rtl/>
        </w:rPr>
        <w:t>להצביע על א</w:t>
      </w:r>
      <w:r w:rsidR="000605F0" w:rsidRPr="00F3247A">
        <w:rPr>
          <w:rFonts w:hint="cs"/>
          <w:sz w:val="24"/>
          <w:szCs w:val="24"/>
          <w:rtl/>
        </w:rPr>
        <w:t xml:space="preserve">תגרי </w:t>
      </w:r>
      <w:r w:rsidRPr="00F3247A">
        <w:rPr>
          <w:rFonts w:hint="cs"/>
          <w:sz w:val="24"/>
          <w:szCs w:val="24"/>
          <w:rtl/>
        </w:rPr>
        <w:t>ש</w:t>
      </w:r>
      <w:r w:rsidR="00824ABC" w:rsidRPr="00F3247A">
        <w:rPr>
          <w:rFonts w:hint="cs"/>
          <w:sz w:val="24"/>
          <w:szCs w:val="24"/>
          <w:rtl/>
        </w:rPr>
        <w:t>וק התקשורת</w:t>
      </w:r>
      <w:r w:rsidR="002F7B7A" w:rsidRPr="00F3247A">
        <w:rPr>
          <w:rFonts w:hint="cs"/>
          <w:sz w:val="24"/>
          <w:szCs w:val="24"/>
          <w:rtl/>
        </w:rPr>
        <w:t xml:space="preserve"> </w:t>
      </w:r>
      <w:r w:rsidR="00ED0A1B" w:rsidRPr="00F3247A">
        <w:rPr>
          <w:rFonts w:hint="cs"/>
          <w:sz w:val="24"/>
          <w:szCs w:val="24"/>
          <w:rtl/>
        </w:rPr>
        <w:t>תוך בחינ</w:t>
      </w:r>
      <w:r w:rsidR="00975BD4" w:rsidRPr="00F3247A">
        <w:rPr>
          <w:rFonts w:hint="cs"/>
          <w:sz w:val="24"/>
          <w:szCs w:val="24"/>
          <w:rtl/>
        </w:rPr>
        <w:t>ת</w:t>
      </w:r>
      <w:r w:rsidR="00147BBD" w:rsidRPr="00F3247A">
        <w:rPr>
          <w:rFonts w:hint="cs"/>
          <w:sz w:val="24"/>
          <w:szCs w:val="24"/>
          <w:rtl/>
        </w:rPr>
        <w:t xml:space="preserve"> </w:t>
      </w:r>
      <w:r w:rsidR="000605F0" w:rsidRPr="00F3247A">
        <w:rPr>
          <w:rFonts w:hint="cs"/>
          <w:sz w:val="24"/>
          <w:szCs w:val="24"/>
          <w:rtl/>
        </w:rPr>
        <w:t xml:space="preserve">סוגיות עכשוויות </w:t>
      </w:r>
      <w:r w:rsidR="001845B2" w:rsidRPr="00F3247A">
        <w:rPr>
          <w:rFonts w:hint="cs"/>
          <w:sz w:val="24"/>
          <w:szCs w:val="24"/>
          <w:rtl/>
        </w:rPr>
        <w:t>כמו תביעות השתקה</w:t>
      </w:r>
      <w:r w:rsidRPr="00F3247A">
        <w:rPr>
          <w:rFonts w:hint="cs"/>
          <w:sz w:val="24"/>
          <w:szCs w:val="24"/>
          <w:rtl/>
        </w:rPr>
        <w:t xml:space="preserve">, </w:t>
      </w:r>
      <w:r w:rsidR="00975BD4" w:rsidRPr="00F3247A">
        <w:rPr>
          <w:rFonts w:hint="cs"/>
          <w:sz w:val="24"/>
          <w:szCs w:val="24"/>
          <w:rtl/>
        </w:rPr>
        <w:t xml:space="preserve"> </w:t>
      </w:r>
      <w:r w:rsidR="00824ABC" w:rsidRPr="00F3247A">
        <w:rPr>
          <w:rFonts w:hint="cs"/>
          <w:sz w:val="24"/>
          <w:szCs w:val="24"/>
          <w:rtl/>
        </w:rPr>
        <w:t xml:space="preserve">אמון הציבור </w:t>
      </w:r>
      <w:r w:rsidR="00975BD4" w:rsidRPr="00F3247A">
        <w:rPr>
          <w:rFonts w:hint="cs"/>
          <w:sz w:val="24"/>
          <w:szCs w:val="24"/>
          <w:rtl/>
        </w:rPr>
        <w:t>(</w:t>
      </w:r>
      <w:r w:rsidR="00975BD4" w:rsidRPr="00F3247A">
        <w:rPr>
          <w:sz w:val="24"/>
          <w:szCs w:val="24"/>
        </w:rPr>
        <w:t>“Fake News”</w:t>
      </w:r>
      <w:r w:rsidR="00975BD4" w:rsidRPr="00F3247A">
        <w:rPr>
          <w:rFonts w:hint="cs"/>
          <w:sz w:val="24"/>
          <w:szCs w:val="24"/>
          <w:rtl/>
        </w:rPr>
        <w:t xml:space="preserve">), </w:t>
      </w:r>
      <w:r w:rsidR="000605F0" w:rsidRPr="00F3247A">
        <w:rPr>
          <w:rFonts w:hint="cs"/>
          <w:sz w:val="24"/>
          <w:szCs w:val="24"/>
          <w:rtl/>
        </w:rPr>
        <w:t>אתיקה בתוכניות מציאות</w:t>
      </w:r>
      <w:r w:rsidR="00360207" w:rsidRPr="00F3247A">
        <w:rPr>
          <w:rFonts w:hint="cs"/>
          <w:sz w:val="24"/>
          <w:szCs w:val="24"/>
          <w:rtl/>
        </w:rPr>
        <w:t xml:space="preserve">, עיתונאים ברשתות חברתיות ועוד. </w:t>
      </w:r>
    </w:p>
    <w:p w14:paraId="0E32F935" w14:textId="77777777" w:rsidR="00F34CAB" w:rsidRDefault="009D4642" w:rsidP="00F34CAB">
      <w:pPr>
        <w:pStyle w:val="a5"/>
        <w:numPr>
          <w:ilvl w:val="0"/>
          <w:numId w:val="27"/>
        </w:numPr>
        <w:bidi/>
        <w:spacing w:after="0" w:line="240" w:lineRule="auto"/>
        <w:ind w:left="135"/>
        <w:jc w:val="both"/>
      </w:pPr>
      <w:r w:rsidRPr="00F3247A">
        <w:rPr>
          <w:rFonts w:hint="cs"/>
          <w:sz w:val="24"/>
          <w:szCs w:val="24"/>
          <w:rtl/>
        </w:rPr>
        <w:t xml:space="preserve">לחבר את </w:t>
      </w:r>
      <w:r w:rsidR="00F84A01" w:rsidRPr="00F3247A">
        <w:rPr>
          <w:rFonts w:hint="cs"/>
          <w:sz w:val="24"/>
          <w:szCs w:val="24"/>
          <w:rtl/>
        </w:rPr>
        <w:t xml:space="preserve">תכני השיעור </w:t>
      </w:r>
      <w:r w:rsidRPr="00F3247A">
        <w:rPr>
          <w:rFonts w:hint="cs"/>
          <w:sz w:val="24"/>
          <w:szCs w:val="24"/>
          <w:rtl/>
        </w:rPr>
        <w:t>לשאלות עקרוניות העולות מן האקטואליה ו</w:t>
      </w:r>
      <w:r w:rsidR="00F84A01" w:rsidRPr="00F3247A">
        <w:rPr>
          <w:rFonts w:hint="cs"/>
          <w:sz w:val="24"/>
          <w:szCs w:val="24"/>
          <w:rtl/>
        </w:rPr>
        <w:t xml:space="preserve">הנוגעות בשאלות של מערבות </w:t>
      </w:r>
      <w:r w:rsidR="00841A77" w:rsidRPr="00F3247A">
        <w:rPr>
          <w:rFonts w:hint="cs"/>
          <w:sz w:val="24"/>
          <w:szCs w:val="24"/>
          <w:rtl/>
        </w:rPr>
        <w:t>השלטון באמצעי התקשורת, לחצים כלכליים ומדיניות תקשורת בישראל</w:t>
      </w:r>
      <w:r w:rsidR="00841A77" w:rsidRPr="00F3247A">
        <w:rPr>
          <w:rFonts w:hint="cs"/>
          <w:rtl/>
        </w:rPr>
        <w:t xml:space="preserve">. </w:t>
      </w:r>
      <w:bookmarkStart w:id="3" w:name="_Hlk513996840"/>
    </w:p>
    <w:p w14:paraId="548F2F75" w14:textId="77777777" w:rsidR="008F66EF" w:rsidRPr="00F34CAB" w:rsidRDefault="008F66EF" w:rsidP="00F34CAB">
      <w:pPr>
        <w:bidi/>
        <w:spacing w:after="0" w:line="240" w:lineRule="auto"/>
        <w:ind w:left="-225"/>
        <w:jc w:val="both"/>
        <w:rPr>
          <w:rtl/>
        </w:rPr>
      </w:pPr>
      <w:r w:rsidRPr="00F34CAB">
        <w:rPr>
          <w:rFonts w:hint="cs"/>
          <w:b/>
          <w:bCs/>
          <w:sz w:val="24"/>
          <w:szCs w:val="24"/>
          <w:rtl/>
        </w:rPr>
        <w:t>חובות הסטודנטים ומרכיבי הציון</w:t>
      </w:r>
      <w:r w:rsidRPr="00F34CAB">
        <w:rPr>
          <w:rFonts w:hint="cs"/>
          <w:sz w:val="24"/>
          <w:szCs w:val="24"/>
          <w:rtl/>
        </w:rPr>
        <w:t>:</w:t>
      </w:r>
    </w:p>
    <w:p w14:paraId="141C871B" w14:textId="77777777" w:rsidR="008F66EF" w:rsidRDefault="008F66EF" w:rsidP="008F66EF">
      <w:pPr>
        <w:pStyle w:val="a5"/>
        <w:numPr>
          <w:ilvl w:val="0"/>
          <w:numId w:val="23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נוכחות ב</w:t>
      </w:r>
      <w:r w:rsidR="000E2DEA">
        <w:rPr>
          <w:rFonts w:hint="cs"/>
          <w:sz w:val="24"/>
          <w:szCs w:val="24"/>
          <w:rtl/>
        </w:rPr>
        <w:t>-</w:t>
      </w:r>
      <w:r w:rsidR="00C72463">
        <w:rPr>
          <w:rFonts w:hint="cs"/>
          <w:sz w:val="24"/>
          <w:szCs w:val="24"/>
          <w:rtl/>
        </w:rPr>
        <w:t>80%</w:t>
      </w:r>
      <w:r w:rsidR="000E2DEA">
        <w:rPr>
          <w:rFonts w:hint="cs"/>
          <w:sz w:val="24"/>
          <w:szCs w:val="24"/>
          <w:rtl/>
        </w:rPr>
        <w:t xml:space="preserve"> מה</w:t>
      </w:r>
      <w:r>
        <w:rPr>
          <w:rFonts w:hint="cs"/>
          <w:sz w:val="24"/>
          <w:szCs w:val="24"/>
          <w:rtl/>
        </w:rPr>
        <w:t>שיעורים</w:t>
      </w:r>
      <w:r w:rsidR="000E2DEA">
        <w:rPr>
          <w:rFonts w:hint="cs"/>
          <w:sz w:val="24"/>
          <w:szCs w:val="24"/>
          <w:rtl/>
        </w:rPr>
        <w:t xml:space="preserve"> היא </w:t>
      </w:r>
      <w:r w:rsidR="000E2DEA" w:rsidRPr="002B4209">
        <w:rPr>
          <w:rFonts w:hint="cs"/>
          <w:sz w:val="24"/>
          <w:szCs w:val="24"/>
          <w:u w:val="single"/>
          <w:rtl/>
        </w:rPr>
        <w:t>תנאי</w:t>
      </w:r>
      <w:r w:rsidR="000E2DEA">
        <w:rPr>
          <w:rFonts w:hint="cs"/>
          <w:sz w:val="24"/>
          <w:szCs w:val="24"/>
          <w:rtl/>
        </w:rPr>
        <w:t xml:space="preserve"> לקבלת ציון. </w:t>
      </w:r>
    </w:p>
    <w:p w14:paraId="2577C3FE" w14:textId="77777777" w:rsidR="00DA6DCC" w:rsidRDefault="00DA6DCC" w:rsidP="00A73F4B">
      <w:pPr>
        <w:pStyle w:val="a5"/>
        <w:numPr>
          <w:ilvl w:val="0"/>
          <w:numId w:val="23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הצגת מקרה </w:t>
      </w:r>
      <w:r w:rsidR="000E2DEA">
        <w:rPr>
          <w:rFonts w:hint="cs"/>
          <w:sz w:val="24"/>
          <w:szCs w:val="24"/>
          <w:rtl/>
        </w:rPr>
        <w:t>או מאמר באחד מהשיעורים (25% מהציון הסופי).</w:t>
      </w:r>
    </w:p>
    <w:p w14:paraId="7EA6AF0D" w14:textId="77777777" w:rsidR="00BE75E4" w:rsidRDefault="009812EA" w:rsidP="00BE75E4">
      <w:pPr>
        <w:pStyle w:val="a5"/>
        <w:numPr>
          <w:ilvl w:val="0"/>
          <w:numId w:val="23"/>
        </w:numPr>
        <w:bidi/>
        <w:spacing w:after="0" w:line="240" w:lineRule="auto"/>
        <w:jc w:val="both"/>
        <w:rPr>
          <w:sz w:val="24"/>
          <w:szCs w:val="24"/>
        </w:rPr>
      </w:pPr>
      <w:r w:rsidRPr="00F3247A">
        <w:rPr>
          <w:rFonts w:hint="cs"/>
          <w:sz w:val="24"/>
          <w:szCs w:val="24"/>
          <w:rtl/>
        </w:rPr>
        <w:t>עבודה</w:t>
      </w:r>
      <w:r w:rsidR="00684DD7" w:rsidRPr="00F3247A">
        <w:rPr>
          <w:rFonts w:hint="cs"/>
          <w:sz w:val="24"/>
          <w:szCs w:val="24"/>
          <w:rtl/>
        </w:rPr>
        <w:t xml:space="preserve"> לסיכום הקורס (</w:t>
      </w:r>
      <w:r w:rsidR="000E2DEA" w:rsidRPr="00F3247A">
        <w:rPr>
          <w:rFonts w:hint="cs"/>
          <w:sz w:val="24"/>
          <w:szCs w:val="24"/>
          <w:rtl/>
        </w:rPr>
        <w:t>75</w:t>
      </w:r>
      <w:r w:rsidR="00684DD7" w:rsidRPr="00F3247A">
        <w:rPr>
          <w:rFonts w:hint="cs"/>
          <w:sz w:val="24"/>
          <w:szCs w:val="24"/>
          <w:rtl/>
        </w:rPr>
        <w:t>% מהציון הסופי).</w:t>
      </w:r>
      <w:bookmarkEnd w:id="3"/>
    </w:p>
    <w:p w14:paraId="464A63FC" w14:textId="7C87375A" w:rsidR="008A5A5F" w:rsidRDefault="008A5A5F" w:rsidP="00BE75E4">
      <w:pPr>
        <w:bidi/>
        <w:spacing w:before="120" w:after="0" w:line="240" w:lineRule="auto"/>
        <w:ind w:left="-147"/>
        <w:jc w:val="both"/>
        <w:rPr>
          <w:rFonts w:cs="Arial"/>
          <w:b/>
          <w:bCs/>
          <w:sz w:val="24"/>
          <w:szCs w:val="24"/>
          <w:rtl/>
        </w:rPr>
      </w:pPr>
    </w:p>
    <w:p w14:paraId="6A6369CF" w14:textId="02DF1C9E" w:rsidR="00871869" w:rsidRDefault="00871869" w:rsidP="00871869">
      <w:pPr>
        <w:bidi/>
        <w:spacing w:before="120" w:after="0" w:line="240" w:lineRule="auto"/>
        <w:ind w:left="-147"/>
        <w:jc w:val="both"/>
        <w:rPr>
          <w:rFonts w:cs="Arial"/>
          <w:b/>
          <w:bCs/>
          <w:sz w:val="24"/>
          <w:szCs w:val="24"/>
          <w:rtl/>
        </w:rPr>
      </w:pPr>
    </w:p>
    <w:p w14:paraId="44599AE3" w14:textId="77777777" w:rsidR="00871869" w:rsidRDefault="00871869" w:rsidP="00871869">
      <w:pPr>
        <w:bidi/>
        <w:spacing w:before="120" w:after="0" w:line="240" w:lineRule="auto"/>
        <w:ind w:left="-147"/>
        <w:jc w:val="both"/>
        <w:rPr>
          <w:rFonts w:cs="Arial"/>
          <w:b/>
          <w:bCs/>
          <w:sz w:val="24"/>
          <w:szCs w:val="24"/>
          <w:rtl/>
        </w:rPr>
      </w:pPr>
    </w:p>
    <w:p w14:paraId="5B968660" w14:textId="6076BD56" w:rsidR="00647286" w:rsidRPr="00BE75E4" w:rsidRDefault="00647286" w:rsidP="008A5A5F">
      <w:pPr>
        <w:bidi/>
        <w:spacing w:before="120" w:after="0" w:line="240" w:lineRule="auto"/>
        <w:ind w:left="-147"/>
        <w:jc w:val="both"/>
        <w:rPr>
          <w:sz w:val="24"/>
          <w:szCs w:val="24"/>
          <w:rtl/>
        </w:rPr>
      </w:pPr>
      <w:r w:rsidRPr="00BE75E4">
        <w:rPr>
          <w:rFonts w:cs="Arial"/>
          <w:b/>
          <w:bCs/>
          <w:sz w:val="24"/>
          <w:szCs w:val="24"/>
          <w:rtl/>
        </w:rPr>
        <w:lastRenderedPageBreak/>
        <w:t xml:space="preserve">מהלך השיעורים: </w:t>
      </w:r>
    </w:p>
    <w:p w14:paraId="38ADE612" w14:textId="77777777" w:rsidR="00647286" w:rsidRPr="00962A19" w:rsidRDefault="00DB716F" w:rsidP="00BE75E4">
      <w:pPr>
        <w:bidi/>
        <w:spacing w:after="0" w:line="240" w:lineRule="auto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השיעורים יפתחו </w:t>
      </w:r>
      <w:r w:rsidR="00DC12B0">
        <w:rPr>
          <w:rFonts w:cs="Arial" w:hint="cs"/>
          <w:sz w:val="24"/>
          <w:szCs w:val="24"/>
          <w:rtl/>
        </w:rPr>
        <w:t xml:space="preserve">בדיון של רבע שעה הקושר בין חופש העיתונות וחופש הביטוי לאירועי האקטואליה בהובלת המרצה ואחד מהסטודנטים,  מצגת הקורס </w:t>
      </w:r>
      <w:r w:rsidR="00860956">
        <w:rPr>
          <w:rFonts w:cs="Arial" w:hint="cs"/>
          <w:sz w:val="24"/>
          <w:szCs w:val="24"/>
          <w:rtl/>
        </w:rPr>
        <w:t>(יעלו לאתר הקורס לפני השיעור)</w:t>
      </w:r>
      <w:r w:rsidR="00962A19">
        <w:rPr>
          <w:rFonts w:cs="Arial" w:hint="cs"/>
          <w:sz w:val="24"/>
          <w:szCs w:val="24"/>
          <w:rtl/>
        </w:rPr>
        <w:t xml:space="preserve"> יסקרו את הנושא שבכותרת השיעור ויציגו מספר שאלות מרכזיות עליהן נ</w:t>
      </w:r>
      <w:r w:rsidR="00D104C1">
        <w:rPr>
          <w:rFonts w:cs="Arial" w:hint="cs"/>
          <w:sz w:val="24"/>
          <w:szCs w:val="24"/>
          <w:rtl/>
        </w:rPr>
        <w:t>ע</w:t>
      </w:r>
      <w:r w:rsidR="00962A19">
        <w:rPr>
          <w:rFonts w:cs="Arial" w:hint="cs"/>
          <w:sz w:val="24"/>
          <w:szCs w:val="24"/>
          <w:rtl/>
        </w:rPr>
        <w:t xml:space="preserve">נה </w:t>
      </w:r>
      <w:r w:rsidR="00D104C1">
        <w:rPr>
          <w:rFonts w:cs="Arial" w:hint="cs"/>
          <w:sz w:val="24"/>
          <w:szCs w:val="24"/>
          <w:rtl/>
        </w:rPr>
        <w:t xml:space="preserve">בדיון המשותף הן </w:t>
      </w:r>
      <w:r w:rsidR="00962A19">
        <w:rPr>
          <w:rFonts w:cs="Arial" w:hint="cs"/>
          <w:sz w:val="24"/>
          <w:szCs w:val="24"/>
          <w:rtl/>
        </w:rPr>
        <w:t>בהקשר היסטורי ו</w:t>
      </w:r>
      <w:r w:rsidR="00D104C1">
        <w:rPr>
          <w:rFonts w:cs="Arial" w:hint="cs"/>
          <w:sz w:val="24"/>
          <w:szCs w:val="24"/>
          <w:rtl/>
        </w:rPr>
        <w:t xml:space="preserve">הן </w:t>
      </w:r>
      <w:r w:rsidR="00962A19">
        <w:rPr>
          <w:rFonts w:cs="Arial" w:hint="cs"/>
          <w:sz w:val="24"/>
          <w:szCs w:val="24"/>
          <w:rtl/>
        </w:rPr>
        <w:t>ב</w:t>
      </w:r>
      <w:r w:rsidR="00D104C1">
        <w:rPr>
          <w:rFonts w:cs="Arial" w:hint="cs"/>
          <w:sz w:val="24"/>
          <w:szCs w:val="24"/>
          <w:rtl/>
        </w:rPr>
        <w:t xml:space="preserve">התייחס לטכנולוגיות עכשוויות. </w:t>
      </w:r>
    </w:p>
    <w:bookmarkEnd w:id="2"/>
    <w:p w14:paraId="0260082D" w14:textId="77777777" w:rsidR="003D4A60" w:rsidRPr="00AE2F3A" w:rsidRDefault="003D4A60" w:rsidP="003D4A60">
      <w:pPr>
        <w:bidi/>
        <w:spacing w:before="240"/>
        <w:jc w:val="both"/>
        <w:rPr>
          <w:b/>
          <w:bCs/>
          <w:sz w:val="24"/>
          <w:szCs w:val="24"/>
          <w:rtl/>
          <w:lang w:val="en-GB"/>
        </w:rPr>
      </w:pPr>
      <w:r w:rsidRPr="00AE2F3A">
        <w:rPr>
          <w:rFonts w:hint="cs"/>
          <w:b/>
          <w:bCs/>
          <w:sz w:val="24"/>
          <w:szCs w:val="24"/>
          <w:rtl/>
        </w:rPr>
        <w:t>מבנה הקורס</w:t>
      </w:r>
    </w:p>
    <w:p w14:paraId="39264C56" w14:textId="77777777" w:rsidR="003D4A60" w:rsidRDefault="003D4A60" w:rsidP="003D4A60">
      <w:pPr>
        <w:bidi/>
        <w:spacing w:after="0" w:line="240" w:lineRule="auto"/>
        <w:jc w:val="both"/>
        <w:rPr>
          <w:rFonts w:cstheme="minorHAnsi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1: מבוא </w:t>
      </w:r>
      <w:r>
        <w:rPr>
          <w:rFonts w:cstheme="minorHAnsi"/>
          <w:b/>
          <w:bCs/>
          <w:sz w:val="24"/>
          <w:szCs w:val="24"/>
          <w:u w:val="single"/>
          <w:rtl/>
        </w:rPr>
        <w:t>–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חופש העיתונות בעידן הרשתות: בין לחצים פוליטיים וכלכליים ל-</w:t>
      </w:r>
      <w:r w:rsidRPr="0047129B">
        <w:rPr>
          <w:rFonts w:cstheme="minorHAnsi"/>
          <w:b/>
          <w:bCs/>
          <w:sz w:val="24"/>
          <w:szCs w:val="24"/>
          <w:u w:val="single"/>
        </w:rPr>
        <w:t>Fake News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 וא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מון הציבור</w:t>
      </w:r>
    </w:p>
    <w:p w14:paraId="0D4B5C9C" w14:textId="77777777" w:rsidR="003D4A60" w:rsidRPr="00AE2F3A" w:rsidRDefault="005F213F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8" w:history="1">
        <w:r w:rsidR="003D4A60" w:rsidRPr="00AE2F3A">
          <w:rPr>
            <w:rStyle w:val="Hyperlink"/>
            <w:rFonts w:cstheme="minorHAnsi"/>
            <w:rtl/>
          </w:rPr>
          <w:t>מדד חופש העיתונות בישראל</w:t>
        </w:r>
      </w:hyperlink>
      <w:r w:rsidR="003D4A60" w:rsidRPr="00AE2F3A">
        <w:rPr>
          <w:rFonts w:cstheme="minorHAnsi"/>
          <w:rtl/>
        </w:rPr>
        <w:t>, בתוך מדד חופש העיתונות הבינ"ל של ארגון "</w:t>
      </w:r>
      <w:r w:rsidR="003D4A60" w:rsidRPr="00AE2F3A">
        <w:rPr>
          <w:rFonts w:cstheme="minorHAnsi"/>
        </w:rPr>
        <w:t>Freedom House</w:t>
      </w:r>
      <w:r w:rsidR="003D4A60" w:rsidRPr="00AE2F3A">
        <w:rPr>
          <w:rFonts w:cstheme="minorHAnsi"/>
          <w:rtl/>
        </w:rPr>
        <w:t>".</w:t>
      </w:r>
    </w:p>
    <w:p w14:paraId="1F2C7D3A" w14:textId="77777777" w:rsidR="003D4A60" w:rsidRPr="00AE2F3A" w:rsidRDefault="005F213F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hyperlink r:id="rId9" w:history="1">
        <w:r w:rsidR="003D4A60" w:rsidRPr="00211C1C">
          <w:rPr>
            <w:rStyle w:val="Hyperlink"/>
            <w:rFonts w:cstheme="minorHAnsi"/>
            <w:rtl/>
          </w:rPr>
          <w:t xml:space="preserve">מדד </w:t>
        </w:r>
        <w:r w:rsidR="003D4A60" w:rsidRPr="00211C1C">
          <w:rPr>
            <w:rStyle w:val="Hyperlink"/>
            <w:rFonts w:cstheme="minorHAnsi" w:hint="cs"/>
            <w:rtl/>
          </w:rPr>
          <w:t>הדמוקרטיה הישראלית</w:t>
        </w:r>
      </w:hyperlink>
      <w:r w:rsidR="003D4A60">
        <w:rPr>
          <w:rFonts w:cstheme="minorHAnsi" w:hint="cs"/>
          <w:rtl/>
        </w:rPr>
        <w:t xml:space="preserve"> [באתר המכון הישראלי לדמוקרטיה]</w:t>
      </w:r>
    </w:p>
    <w:p w14:paraId="08CCE886" w14:textId="77777777" w:rsidR="003D4A60" w:rsidRDefault="003D4A60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</w:rPr>
      </w:pPr>
      <w:r w:rsidRPr="00A73206">
        <w:rPr>
          <w:rFonts w:cstheme="minorHAnsi" w:hint="cs"/>
          <w:rtl/>
        </w:rPr>
        <w:t>ש</w:t>
      </w:r>
      <w:r w:rsidRPr="00A73206">
        <w:rPr>
          <w:rFonts w:cstheme="minorHAnsi"/>
          <w:rtl/>
        </w:rPr>
        <w:t>וורץ אלטשולר</w:t>
      </w:r>
      <w:r w:rsidRPr="00A73206">
        <w:rPr>
          <w:rFonts w:cstheme="minorHAnsi" w:hint="cs"/>
          <w:rtl/>
        </w:rPr>
        <w:t xml:space="preserve">, ת. (2015). </w:t>
      </w:r>
      <w:hyperlink r:id="rId10" w:history="1">
        <w:r w:rsidRPr="00A73206">
          <w:rPr>
            <w:rStyle w:val="Hyperlink"/>
            <w:rFonts w:cstheme="minorHAnsi"/>
            <w:rtl/>
          </w:rPr>
          <w:t>סוגיות בחופש העיתונות</w:t>
        </w:r>
      </w:hyperlink>
      <w:r w:rsidRPr="00A73206">
        <w:rPr>
          <w:rFonts w:cstheme="minorHAnsi"/>
          <w:i/>
          <w:iCs/>
          <w:rtl/>
        </w:rPr>
        <w:t>,  בתוך:</w:t>
      </w:r>
      <w:r w:rsidRPr="00A73206">
        <w:rPr>
          <w:rFonts w:cstheme="minorHAnsi"/>
          <w:rtl/>
        </w:rPr>
        <w:t xml:space="preserve"> רפי מן ואזי לב-און (עורכים) דוח שנתי: התקשורת בישראל  – סדרי יום, שימושים ומגמות </w:t>
      </w:r>
      <w:r w:rsidRPr="00A73206">
        <w:rPr>
          <w:rFonts w:cstheme="minorHAnsi" w:hint="cs"/>
          <w:rtl/>
        </w:rPr>
        <w:t xml:space="preserve"> </w:t>
      </w:r>
      <w:r w:rsidRPr="00A73206">
        <w:rPr>
          <w:rFonts w:cstheme="minorHAnsi"/>
          <w:rtl/>
        </w:rPr>
        <w:t>(אריאל: המכון לחקר מדיה חדשים חברה ופוליטיקה, אוניברסיטת אריאל בשומרון)</w:t>
      </w:r>
      <w:r>
        <w:rPr>
          <w:rFonts w:cstheme="minorHAnsi" w:hint="cs"/>
          <w:rtl/>
        </w:rPr>
        <w:t>.</w:t>
      </w:r>
    </w:p>
    <w:p w14:paraId="380116FA" w14:textId="77777777" w:rsidR="003D4A60" w:rsidRPr="00A73206" w:rsidRDefault="003D4A60" w:rsidP="003D4A60">
      <w:pPr>
        <w:pStyle w:val="a5"/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rtl/>
        </w:rPr>
      </w:pPr>
      <w:r w:rsidRPr="00A73206">
        <w:rPr>
          <w:rFonts w:cstheme="minorHAnsi"/>
          <w:rtl/>
        </w:rPr>
        <w:t xml:space="preserve"> צבי רייך ויגאל גודלר</w:t>
      </w:r>
      <w:r w:rsidRPr="00A73206">
        <w:rPr>
          <w:rFonts w:cstheme="minorHAnsi" w:hint="cs"/>
          <w:rtl/>
        </w:rPr>
        <w:t xml:space="preserve"> (2016)</w:t>
      </w:r>
      <w:r w:rsidRPr="00A73206">
        <w:rPr>
          <w:rFonts w:cstheme="minorHAnsi"/>
          <w:rtl/>
        </w:rPr>
        <w:t xml:space="preserve">, </w:t>
      </w:r>
      <w:hyperlink r:id="rId11" w:history="1">
        <w:r w:rsidRPr="00A73206">
          <w:rPr>
            <w:rStyle w:val="Hyperlink"/>
            <w:rFonts w:cstheme="minorHAnsi"/>
            <w:rtl/>
          </w:rPr>
          <w:t>הספקן בחדר החדשות</w:t>
        </w:r>
      </w:hyperlink>
      <w:r w:rsidRPr="00A73206">
        <w:rPr>
          <w:rFonts w:cstheme="minorHAnsi"/>
          <w:rtl/>
        </w:rPr>
        <w:t>. ירושלים: המכון הישראלי לדמוקרטיה</w:t>
      </w:r>
      <w:r w:rsidRPr="00A73206">
        <w:rPr>
          <w:rFonts w:cstheme="minorHAnsi" w:hint="cs"/>
          <w:rtl/>
        </w:rPr>
        <w:t xml:space="preserve">. </w:t>
      </w:r>
      <w:r w:rsidRPr="00A73206">
        <w:rPr>
          <w:rFonts w:cstheme="minorHAnsi"/>
          <w:rtl/>
        </w:rPr>
        <w:t xml:space="preserve"> </w:t>
      </w:r>
    </w:p>
    <w:p w14:paraId="1CDB3470" w14:textId="77777777" w:rsidR="003D4A60" w:rsidRDefault="003D4A60" w:rsidP="003D4A60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20C6C">
        <w:rPr>
          <w:rFonts w:cstheme="minorHAnsi"/>
        </w:rPr>
        <w:t>McNair, B. (201</w:t>
      </w:r>
      <w:r>
        <w:rPr>
          <w:rFonts w:cstheme="minorHAnsi"/>
        </w:rPr>
        <w:t>8</w:t>
      </w:r>
      <w:r w:rsidRPr="00D20C6C">
        <w:rPr>
          <w:rFonts w:cstheme="minorHAnsi"/>
        </w:rPr>
        <w:t>).</w:t>
      </w:r>
      <w:r>
        <w:rPr>
          <w:rFonts w:cstheme="minorHAnsi"/>
        </w:rPr>
        <w:t xml:space="preserve">  </w:t>
      </w:r>
      <w:r w:rsidRPr="00D20C6C">
        <w:rPr>
          <w:rFonts w:cstheme="minorHAnsi"/>
        </w:rPr>
        <w:t xml:space="preserve">Fake news: Falsehood, fabrication and fantasy in journalism. </w:t>
      </w:r>
      <w:r>
        <w:rPr>
          <w:rFonts w:cstheme="minorHAnsi"/>
        </w:rPr>
        <w:t xml:space="preserve">New York: </w:t>
      </w:r>
      <w:r w:rsidRPr="00D20C6C">
        <w:rPr>
          <w:rFonts w:cstheme="minorHAnsi"/>
        </w:rPr>
        <w:t>Routledge.</w:t>
      </w:r>
      <w:r>
        <w:rPr>
          <w:rFonts w:cstheme="minorHAnsi"/>
        </w:rPr>
        <w:t xml:space="preserve"> Read chapter 1: #Fakenews. </w:t>
      </w:r>
    </w:p>
    <w:p w14:paraId="20776855" w14:textId="77777777" w:rsidR="003D4A60" w:rsidRPr="00203D14" w:rsidRDefault="003D4A60" w:rsidP="003D4A60">
      <w:pPr>
        <w:pStyle w:val="a5"/>
        <w:numPr>
          <w:ilvl w:val="0"/>
          <w:numId w:val="6"/>
        </w:numPr>
        <w:spacing w:after="0" w:line="240" w:lineRule="auto"/>
        <w:jc w:val="both"/>
        <w:rPr>
          <w:rFonts w:cstheme="minorHAnsi"/>
          <w:rtl/>
        </w:rPr>
      </w:pPr>
      <w:r w:rsidRPr="00203D14">
        <w:rPr>
          <w:rFonts w:cstheme="minorHAnsi"/>
        </w:rPr>
        <w:t xml:space="preserve">Allcott, H. and Gentzkow, M. (2017). </w:t>
      </w:r>
      <w:hyperlink r:id="rId12" w:history="1">
        <w:r w:rsidRPr="00203D14">
          <w:rPr>
            <w:rStyle w:val="Hyperlink"/>
            <w:rFonts w:cstheme="minorHAnsi"/>
          </w:rPr>
          <w:t>Social Media and Fake News in the 2016 Election</w:t>
        </w:r>
      </w:hyperlink>
      <w:r w:rsidRPr="00203D14">
        <w:rPr>
          <w:rFonts w:cstheme="minorHAnsi"/>
        </w:rPr>
        <w:t xml:space="preserve">, </w:t>
      </w:r>
      <w:r w:rsidRPr="0047129B">
        <w:rPr>
          <w:rFonts w:cstheme="minorHAnsi"/>
          <w:u w:val="single"/>
        </w:rPr>
        <w:t>Journal of Economic Perspectives</w:t>
      </w:r>
      <w:r w:rsidRPr="00203D14">
        <w:rPr>
          <w:rFonts w:cstheme="minorHAnsi"/>
          <w:b/>
          <w:bCs/>
        </w:rPr>
        <w:t xml:space="preserve">, </w:t>
      </w:r>
      <w:r w:rsidRPr="00203D14">
        <w:rPr>
          <w:rFonts w:cstheme="minorHAnsi"/>
        </w:rPr>
        <w:t>31(2): 211–236</w:t>
      </w:r>
      <w:r w:rsidRPr="00203D14">
        <w:rPr>
          <w:rFonts w:cstheme="minorHAnsi" w:hint="cs"/>
          <w:rtl/>
        </w:rPr>
        <w:t>.</w:t>
      </w:r>
    </w:p>
    <w:p w14:paraId="1FEA4ED6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2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: צמיחת מוסד התקשורת ומאבקי הצנזורה: האם יכול השלטון לטכנולוגיה?</w:t>
      </w:r>
    </w:p>
    <w:p w14:paraId="7ADF25EE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 w:rsidRPr="00AE2F3A">
        <w:rPr>
          <w:rFonts w:cstheme="minorHAnsi"/>
          <w:rtl/>
          <w:lang w:val="en-GB"/>
        </w:rPr>
        <w:t xml:space="preserve">אליאב-פלדון, מ. (2000). </w:t>
      </w:r>
      <w:r w:rsidRPr="00AE2F3A">
        <w:rPr>
          <w:rFonts w:cstheme="minorHAnsi"/>
          <w:b/>
          <w:bCs/>
          <w:rtl/>
          <w:lang w:val="en-GB"/>
        </w:rPr>
        <w:t>מהפכת הדפוס</w:t>
      </w:r>
      <w:r w:rsidRPr="00AE2F3A">
        <w:rPr>
          <w:rFonts w:cstheme="minorHAnsi"/>
          <w:rtl/>
          <w:lang w:val="en-GB"/>
        </w:rPr>
        <w:t xml:space="preserve">. ירושלים: אוניברסיטה משודרת, משרד הבטחון. הפרקים: "צנזורה" (עמ' 99-91) ו"האדם הקורא, האדם הפוליטי" (עמ' 130-121). </w:t>
      </w:r>
    </w:p>
    <w:p w14:paraId="5DBF1285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3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: מוסד התקשורת מול המוסד הפוליטי: מי בולם ומי מאזן? </w:t>
      </w:r>
    </w:p>
    <w:p w14:paraId="06366A49" w14:textId="77777777" w:rsidR="003D4A60" w:rsidRPr="00AE2F3A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הפרק: "תיאוריה נורמטיבית של תקשורת וחברה" (עמ' 215-184).</w:t>
      </w:r>
      <w:r w:rsidRPr="00AE2F3A">
        <w:rPr>
          <w:rFonts w:cstheme="minorHAnsi"/>
          <w:rtl/>
          <w:lang w:val="en-GB"/>
        </w:rPr>
        <w:tab/>
      </w:r>
    </w:p>
    <w:p w14:paraId="7098308F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 w:rsidRPr="00AE2F3A">
        <w:rPr>
          <w:rFonts w:cstheme="minorHAnsi"/>
          <w:rtl/>
          <w:lang w:val="en-GB"/>
        </w:rPr>
        <w:t>התיקון הראשון לחוקה האמריקאית [</w:t>
      </w:r>
      <w:hyperlink r:id="rId13" w:anchor="amdt1a_hd4" w:history="1">
        <w:r w:rsidRPr="00AE2F3A">
          <w:rPr>
            <w:rStyle w:val="Hyperlink"/>
            <w:rFonts w:cstheme="minorHAnsi"/>
          </w:rPr>
          <w:t>Annotated Constitution – Cornell U Law School</w:t>
        </w:r>
      </w:hyperlink>
      <w:r w:rsidRPr="00AE2F3A">
        <w:rPr>
          <w:rFonts w:cstheme="minorHAnsi"/>
          <w:rtl/>
          <w:lang w:val="en-GB"/>
        </w:rPr>
        <w:t>]</w:t>
      </w:r>
    </w:p>
    <w:p w14:paraId="198BC714" w14:textId="77777777" w:rsidR="003D4A60" w:rsidRDefault="003D4A60" w:rsidP="003D4A60">
      <w:pPr>
        <w:pStyle w:val="a5"/>
        <w:numPr>
          <w:ilvl w:val="0"/>
          <w:numId w:val="25"/>
        </w:numPr>
        <w:bidi/>
        <w:spacing w:after="0" w:line="240" w:lineRule="auto"/>
        <w:jc w:val="both"/>
        <w:rPr>
          <w:rFonts w:cstheme="minorHAnsi"/>
          <w:lang w:val="en-GB"/>
        </w:rPr>
      </w:pPr>
      <w:r>
        <w:rPr>
          <w:rFonts w:cs="Calibri" w:hint="cs"/>
          <w:rtl/>
          <w:lang w:val="en-GB"/>
        </w:rPr>
        <w:t>מגילת זכויות האדם של האו"ם [</w:t>
      </w:r>
      <w:hyperlink r:id="rId14" w:history="1">
        <w:r w:rsidRPr="001A19DE">
          <w:rPr>
            <w:rStyle w:val="Hyperlink"/>
            <w:rFonts w:cs="Calibri"/>
            <w:rtl/>
            <w:lang w:val="en-GB"/>
          </w:rPr>
          <w:t>ההכרזה לכל באי עולם בדבר זכויות האדם</w:t>
        </w:r>
      </w:hyperlink>
      <w:r>
        <w:rPr>
          <w:rFonts w:cs="Calibri" w:hint="cs"/>
          <w:rtl/>
          <w:lang w:val="en-GB"/>
        </w:rPr>
        <w:t xml:space="preserve">] </w:t>
      </w:r>
    </w:p>
    <w:p w14:paraId="2260F7C0" w14:textId="77777777" w:rsidR="003D4A60" w:rsidRDefault="003D4A60" w:rsidP="003D4A60">
      <w:pPr>
        <w:pStyle w:val="a5"/>
        <w:bidi/>
        <w:spacing w:after="0" w:line="240" w:lineRule="auto"/>
        <w:jc w:val="both"/>
        <w:rPr>
          <w:rFonts w:cstheme="minorHAnsi"/>
          <w:rtl/>
          <w:lang w:val="en-GB"/>
        </w:rPr>
      </w:pPr>
      <w:r>
        <w:rPr>
          <w:rFonts w:cstheme="minorHAnsi" w:hint="cs"/>
          <w:rtl/>
          <w:lang w:val="en-GB"/>
        </w:rPr>
        <w:t>---</w:t>
      </w:r>
    </w:p>
    <w:p w14:paraId="7D0D3E0A" w14:textId="77777777" w:rsidR="003D4A60" w:rsidRPr="00AE2F3A" w:rsidRDefault="003D4A60" w:rsidP="003D4A60">
      <w:pPr>
        <w:pStyle w:val="31"/>
        <w:rPr>
          <w:rFonts w:asciiTheme="minorHAnsi" w:hAnsiTheme="minorHAnsi" w:cstheme="minorHAnsi"/>
          <w:i w:val="0"/>
          <w:iCs w:val="0"/>
          <w:u w:val="none"/>
          <w:rtl/>
        </w:rPr>
      </w:pPr>
      <w:r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>חקיק</w:t>
      </w:r>
      <w:r>
        <w:rPr>
          <w:rFonts w:asciiTheme="minorHAnsi" w:hAnsiTheme="minorHAnsi" w:cstheme="minorHAnsi" w:hint="cs"/>
          <w:b w:val="0"/>
          <w:bCs w:val="0"/>
          <w:i w:val="0"/>
          <w:iCs w:val="0"/>
          <w:u w:val="none"/>
          <w:rtl/>
        </w:rPr>
        <w:t>ה סביב סיקור ב</w:t>
      </w:r>
      <w:r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 xml:space="preserve">חירות </w:t>
      </w:r>
    </w:p>
    <w:p w14:paraId="0011F5CE" w14:textId="77777777" w:rsidR="003D4A60" w:rsidRPr="00AE2F3A" w:rsidRDefault="005F213F" w:rsidP="003D4A60">
      <w:pPr>
        <w:pStyle w:val="31"/>
        <w:numPr>
          <w:ilvl w:val="0"/>
          <w:numId w:val="25"/>
        </w:numPr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</w:pPr>
      <w:hyperlink r:id="rId15" w:history="1">
        <w:r w:rsidR="003D4A60" w:rsidRPr="00AE2F3A">
          <w:rPr>
            <w:rStyle w:val="Hyperlink"/>
            <w:rFonts w:asciiTheme="minorHAnsi" w:hAnsiTheme="minorHAnsi" w:cstheme="minorHAnsi"/>
            <w:b w:val="0"/>
            <w:bCs w:val="0"/>
            <w:i w:val="0"/>
            <w:iCs w:val="0"/>
            <w:rtl/>
          </w:rPr>
          <w:t>חוק הבחירות</w:t>
        </w:r>
      </w:hyperlink>
      <w:r w:rsidR="003D4A60" w:rsidRPr="00AE2F3A">
        <w:rPr>
          <w:rFonts w:asciiTheme="minorHAnsi" w:hAnsiTheme="minorHAnsi" w:cstheme="minorHAnsi"/>
          <w:b w:val="0"/>
          <w:bCs w:val="0"/>
          <w:i w:val="0"/>
          <w:iCs w:val="0"/>
          <w:u w:val="none"/>
          <w:rtl/>
        </w:rPr>
        <w:t xml:space="preserve"> (דרכי תעמולה)</w:t>
      </w:r>
    </w:p>
    <w:p w14:paraId="4C0F902A" w14:textId="77777777" w:rsidR="003D4A60" w:rsidRPr="00AE2F3A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jc w:val="both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2194/06 מפלגת שינוי – מפלגת המרכז נ. יו"ר ועדת הבחירות המרכזית. </w:t>
      </w:r>
      <w:hyperlink r:id="rId16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אוניברסיטת חיפה. </w:t>
      </w:r>
    </w:p>
    <w:p w14:paraId="0C1A7B2C" w14:textId="77777777" w:rsidR="003D4A60" w:rsidRPr="00AE2F3A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דו"ח וועדת ביניש בעניין חוק הבחירות (דרכי תעמולה) (עדיין לא פורסם). </w:t>
      </w:r>
    </w:p>
    <w:p w14:paraId="6EF3F4EA" w14:textId="77777777" w:rsidR="003D4A60" w:rsidRPr="003D4A60" w:rsidRDefault="003D4A60" w:rsidP="003D4A60">
      <w:pPr>
        <w:pStyle w:val="a5"/>
        <w:numPr>
          <w:ilvl w:val="0"/>
          <w:numId w:val="25"/>
        </w:numPr>
        <w:tabs>
          <w:tab w:val="left" w:pos="284"/>
        </w:tabs>
        <w:bidi/>
        <w:spacing w:after="0" w:line="240" w:lineRule="auto"/>
        <w:ind w:right="-851"/>
        <w:jc w:val="both"/>
        <w:rPr>
          <w:rFonts w:cstheme="minorHAnsi"/>
          <w:rtl/>
          <w:lang w:val="en-GB"/>
        </w:rPr>
      </w:pPr>
      <w:r w:rsidRPr="003D4A60">
        <w:rPr>
          <w:rFonts w:cstheme="minorHAnsi"/>
          <w:rtl/>
        </w:rPr>
        <w:t xml:space="preserve"> שוורץ אלטשולר </w:t>
      </w:r>
      <w:r w:rsidRPr="003D4A60">
        <w:rPr>
          <w:rFonts w:cstheme="minorHAnsi" w:hint="cs"/>
          <w:rtl/>
        </w:rPr>
        <w:t>ת</w:t>
      </w:r>
      <w:r w:rsidRPr="003D4A60">
        <w:rPr>
          <w:rFonts w:cstheme="minorHAnsi" w:hint="cs"/>
        </w:rPr>
        <w:t xml:space="preserve"> </w:t>
      </w:r>
      <w:r w:rsidRPr="003D4A60">
        <w:rPr>
          <w:rFonts w:cstheme="minorHAnsi" w:hint="cs"/>
          <w:rtl/>
        </w:rPr>
        <w:t xml:space="preserve">. </w:t>
      </w:r>
      <w:r w:rsidRPr="003D4A60">
        <w:rPr>
          <w:rFonts w:cstheme="minorHAnsi"/>
          <w:rtl/>
        </w:rPr>
        <w:t>ולוריא</w:t>
      </w:r>
      <w:r w:rsidRPr="003D4A60">
        <w:rPr>
          <w:rFonts w:cstheme="minorHAnsi" w:hint="cs"/>
          <w:rtl/>
        </w:rPr>
        <w:t>, ג. (2015)</w:t>
      </w:r>
      <w:r w:rsidRPr="003D4A60">
        <w:rPr>
          <w:rFonts w:cstheme="minorHAnsi"/>
          <w:rtl/>
        </w:rPr>
        <w:t xml:space="preserve">, </w:t>
      </w:r>
      <w:hyperlink r:id="rId17" w:history="1">
        <w:r w:rsidRPr="003D4A60">
          <w:rPr>
            <w:rStyle w:val="Hyperlink"/>
            <w:rFonts w:cstheme="minorHAnsi"/>
            <w:rtl/>
          </w:rPr>
          <w:t>רפורמה בדיני תעמולת הבחירות</w:t>
        </w:r>
      </w:hyperlink>
      <w:r w:rsidRPr="003D4A60">
        <w:rPr>
          <w:rFonts w:cstheme="minorHAnsi"/>
          <w:rtl/>
        </w:rPr>
        <w:t xml:space="preserve">, ירושלים: המכון הישראלי לדמוקרטיה. </w:t>
      </w:r>
    </w:p>
    <w:p w14:paraId="20079C1D" w14:textId="77777777" w:rsidR="003D4A60" w:rsidRPr="0024269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שיעו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 xml:space="preserve">ר 4: 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חופש העיתונות: מהות ערכית ותשתית משפטית (הזכות לעסוק בעיתונות, חסיון מקורות)</w:t>
      </w:r>
    </w:p>
    <w:p w14:paraId="5EFCB59D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המבנה והביצועים של מוסד התקשורת: עקרונות ואחריות-דיווח (עמ' 248-219).</w:t>
      </w:r>
    </w:p>
    <w:p w14:paraId="1FD020E7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נגבי, מ. (2011). </w:t>
      </w:r>
      <w:r w:rsidRPr="00AE2F3A">
        <w:rPr>
          <w:rFonts w:cstheme="minorHAnsi"/>
          <w:b/>
          <w:bCs/>
          <w:rtl/>
          <w:lang w:val="en-GB"/>
        </w:rPr>
        <w:t>חופש העיתונאי וחופש העיתונות בישראל</w:t>
      </w:r>
      <w:r w:rsidRPr="00AE2F3A">
        <w:rPr>
          <w:rFonts w:cstheme="minorHAnsi"/>
          <w:rtl/>
          <w:lang w:val="en-GB"/>
        </w:rPr>
        <w:t xml:space="preserve">. רעננה: האוניברסיטה הפתוחה. פרק ראשון: "התשתית הערכית והחוקתית" (עמ' 45-13). </w:t>
      </w:r>
    </w:p>
    <w:p w14:paraId="0E8B01BB" w14:textId="77777777" w:rsidR="003D4A60" w:rsidRPr="00AE2F3A" w:rsidRDefault="003D4A60" w:rsidP="003D4A60">
      <w:pPr>
        <w:pStyle w:val="a5"/>
        <w:numPr>
          <w:ilvl w:val="0"/>
          <w:numId w:val="26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ברק, א. (1991) </w:t>
      </w:r>
      <w:hyperlink r:id="rId18" w:history="1">
        <w:r w:rsidRPr="00AE2F3A">
          <w:rPr>
            <w:rStyle w:val="Hyperlink"/>
            <w:rFonts w:cstheme="minorHAnsi"/>
            <w:rtl/>
            <w:lang w:val="en-GB"/>
          </w:rPr>
          <w:t>חופש הביטוי ומגבלותיו</w:t>
        </w:r>
      </w:hyperlink>
      <w:r w:rsidRPr="00AE2F3A">
        <w:rPr>
          <w:rFonts w:cstheme="minorHAnsi"/>
          <w:rtl/>
          <w:lang w:val="en-GB"/>
        </w:rPr>
        <w:t>. מבחר כתבים, כרך א', 529-509.</w:t>
      </w:r>
    </w:p>
    <w:p w14:paraId="05CE252D" w14:textId="77777777" w:rsidR="003D4A60" w:rsidRPr="00AE2F3A" w:rsidRDefault="003D4A60" w:rsidP="003D4A60">
      <w:pPr>
        <w:bidi/>
        <w:spacing w:after="0" w:line="240" w:lineRule="auto"/>
        <w:ind w:firstLine="360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תקנות, דיוני בתי משפט ופסקי דין: </w:t>
      </w:r>
    </w:p>
    <w:p w14:paraId="5074D257" w14:textId="77777777" w:rsidR="003D4A60" w:rsidRPr="00AE2F3A" w:rsidRDefault="003D4A60" w:rsidP="003D4A60">
      <w:pPr>
        <w:pStyle w:val="a5"/>
        <w:numPr>
          <w:ilvl w:val="0"/>
          <w:numId w:val="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תקנות ההגנה (שעת חירום), 1945.  </w:t>
      </w:r>
    </w:p>
    <w:p w14:paraId="2CB626C7" w14:textId="77777777" w:rsidR="003D4A60" w:rsidRPr="00AE2F3A" w:rsidRDefault="003D4A60" w:rsidP="003D4A60">
      <w:pPr>
        <w:pStyle w:val="a5"/>
        <w:numPr>
          <w:ilvl w:val="0"/>
          <w:numId w:val="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73/53 חברת "קול העם" ואח' נ. שר הפנים, פ"ד ז' 871 </w:t>
      </w:r>
      <w:hyperlink r:id="rId19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השביעית.</w:t>
      </w:r>
      <w:r w:rsidRPr="00AE2F3A">
        <w:rPr>
          <w:rFonts w:cstheme="minorHAnsi"/>
          <w:rtl/>
        </w:rPr>
        <w:t xml:space="preserve"> </w:t>
      </w:r>
    </w:p>
    <w:p w14:paraId="3BFE951D" w14:textId="77777777" w:rsidR="003D4A60" w:rsidRPr="00AE2F3A" w:rsidRDefault="003D4A60" w:rsidP="003D4A60">
      <w:pPr>
        <w:pStyle w:val="a5"/>
        <w:numPr>
          <w:ilvl w:val="0"/>
          <w:numId w:val="1"/>
        </w:numPr>
        <w:bidi/>
        <w:spacing w:after="0" w:line="240" w:lineRule="auto"/>
        <w:ind w:right="-851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בג"צ 316/03 בכרי נ' המועצה לביקורת סרטים פ"ד נח(1) 249</w:t>
      </w:r>
      <w:r w:rsidRPr="00AE2F3A">
        <w:rPr>
          <w:rFonts w:cstheme="minorHAnsi"/>
          <w:lang w:val="en-GB"/>
        </w:rPr>
        <w:t>.</w:t>
      </w:r>
      <w:r w:rsidRPr="00AE2F3A">
        <w:rPr>
          <w:rFonts w:cstheme="minorHAnsi"/>
          <w:rtl/>
          <w:lang w:val="en-GB"/>
        </w:rPr>
        <w:t xml:space="preserve"> ו- דנג"ץ 10480/03 בוסידן נ' בכרי</w:t>
      </w:r>
      <w:r>
        <w:rPr>
          <w:rFonts w:cstheme="minorHAnsi"/>
          <w:lang w:val="en-GB"/>
        </w:rPr>
        <w:t xml:space="preserve"> </w:t>
      </w:r>
      <w:r w:rsidRPr="00AE2F3A">
        <w:rPr>
          <w:rFonts w:cstheme="minorHAnsi"/>
          <w:lang w:val="en-GB"/>
        </w:rPr>
        <w:t>(30.8.04).</w:t>
      </w:r>
    </w:p>
    <w:p w14:paraId="30AB4CC8" w14:textId="77777777" w:rsidR="003D4A60" w:rsidRPr="00AE2F3A" w:rsidRDefault="003D4A60" w:rsidP="003D4A60">
      <w:pPr>
        <w:pStyle w:val="a5"/>
        <w:numPr>
          <w:ilvl w:val="0"/>
          <w:numId w:val="1"/>
        </w:numPr>
        <w:bidi/>
        <w:spacing w:after="0" w:line="240" w:lineRule="auto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בג"צ 414/89 בן נ' שר המשפטים פ"ד מג(4) 327</w:t>
      </w:r>
      <w:r w:rsidRPr="00AE2F3A">
        <w:rPr>
          <w:rFonts w:cstheme="minorHAnsi"/>
          <w:lang w:val="en-GB"/>
        </w:rPr>
        <w:t>.</w:t>
      </w:r>
    </w:p>
    <w:p w14:paraId="36AD66EE" w14:textId="77777777" w:rsidR="003D4A60" w:rsidRPr="00242693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5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: צנזורה צבאית וסודיות</w:t>
      </w:r>
    </w:p>
    <w:p w14:paraId="35527CDF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ind w:right="-1276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שוורץ אלטשולר, ת ולוריא ג. (2016).  </w:t>
      </w:r>
      <w:hyperlink r:id="rId20" w:history="1">
        <w:r w:rsidRPr="00AE2F3A">
          <w:rPr>
            <w:rStyle w:val="Hyperlink"/>
            <w:rFonts w:cstheme="minorHAnsi"/>
            <w:rtl/>
          </w:rPr>
          <w:t>הגנה על סודות ביטחוניים בעולם דיגיטלי</w:t>
        </w:r>
      </w:hyperlink>
      <w:r w:rsidRPr="00AE2F3A">
        <w:rPr>
          <w:rFonts w:cstheme="minorHAnsi"/>
          <w:rtl/>
        </w:rPr>
        <w:t>. י</w:t>
      </w:r>
      <w:r>
        <w:rPr>
          <w:rFonts w:cstheme="minorHAnsi" w:hint="cs"/>
          <w:rtl/>
        </w:rPr>
        <w:t>-ם</w:t>
      </w:r>
      <w:r w:rsidRPr="00AE2F3A">
        <w:rPr>
          <w:rFonts w:cstheme="minorHAnsi"/>
          <w:rtl/>
        </w:rPr>
        <w:t>:</w:t>
      </w:r>
      <w:r>
        <w:rPr>
          <w:rFonts w:cstheme="minorHAnsi" w:hint="cs"/>
          <w:rtl/>
        </w:rPr>
        <w:t xml:space="preserve"> </w:t>
      </w:r>
      <w:r w:rsidRPr="00AE2F3A">
        <w:rPr>
          <w:rFonts w:cstheme="minorHAnsi"/>
          <w:rtl/>
        </w:rPr>
        <w:t>המכון הישראלי לדמוקרטיה.</w:t>
      </w:r>
    </w:p>
    <w:p w14:paraId="388D4AA2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אורן פרסיקו,  הצנזורה הצבאית החלה במהלך לניטור מוקדם של פרסומים בעמודי פייסבוק נבחרים: </w:t>
      </w:r>
      <w:hyperlink r:id="rId21" w:history="1">
        <w:r w:rsidRPr="00AE2F3A">
          <w:rPr>
            <w:rStyle w:val="Hyperlink"/>
            <w:rFonts w:cstheme="minorHAnsi"/>
            <w:rtl/>
          </w:rPr>
          <w:t>שליטה באמצעות מניעה</w:t>
        </w:r>
      </w:hyperlink>
      <w:r w:rsidRPr="00AE2F3A">
        <w:rPr>
          <w:rStyle w:val="Hyperlink"/>
          <w:rFonts w:cstheme="minorHAnsi"/>
          <w:rtl/>
        </w:rPr>
        <w:t xml:space="preserve">, </w:t>
      </w:r>
      <w:r w:rsidRPr="00AE2F3A">
        <w:rPr>
          <w:rFonts w:cstheme="minorHAnsi"/>
          <w:rtl/>
        </w:rPr>
        <w:t xml:space="preserve">העין השביעית, 2016. </w:t>
      </w:r>
    </w:p>
    <w:p w14:paraId="1F74F79A" w14:textId="77777777" w:rsidR="003D4A60" w:rsidRPr="00AE2F3A" w:rsidRDefault="003D4A60" w:rsidP="003D4A60">
      <w:pPr>
        <w:pStyle w:val="a5"/>
        <w:numPr>
          <w:ilvl w:val="0"/>
          <w:numId w:val="4"/>
        </w:numPr>
        <w:shd w:val="clear" w:color="auto" w:fill="FFFFFF"/>
        <w:bidi/>
        <w:spacing w:after="0" w:line="240" w:lineRule="auto"/>
        <w:ind w:right="-709"/>
        <w:jc w:val="both"/>
        <w:rPr>
          <w:rFonts w:eastAsia="Times New Roman" w:cstheme="minorHAnsi"/>
          <w:color w:val="222222"/>
        </w:rPr>
      </w:pPr>
      <w:r w:rsidRPr="00AE2F3A">
        <w:rPr>
          <w:rFonts w:eastAsia="Times New Roman" w:cstheme="minorHAnsi"/>
          <w:color w:val="222222"/>
          <w:rtl/>
        </w:rPr>
        <w:t xml:space="preserve">לימור, י. ונוסק, ה. (2011). צנזורה צבאית בישראל: תמונת מצב - 2011. בתוך:  ה. זביידה וד. מקלברג (עורכים). </w:t>
      </w:r>
      <w:r w:rsidRPr="00AE2F3A">
        <w:rPr>
          <w:rFonts w:eastAsia="Times New Roman" w:cstheme="minorHAnsi"/>
          <w:b/>
          <w:bCs/>
          <w:color w:val="222222"/>
          <w:rtl/>
        </w:rPr>
        <w:t>מחקרים בפוליטיקה ישראלית</w:t>
      </w:r>
      <w:r w:rsidRPr="00AE2F3A">
        <w:rPr>
          <w:rFonts w:eastAsia="Times New Roman" w:cstheme="minorHAnsi"/>
          <w:i/>
          <w:iCs/>
          <w:color w:val="222222"/>
          <w:rtl/>
        </w:rPr>
        <w:t xml:space="preserve">, כרך </w:t>
      </w:r>
      <w:r w:rsidRPr="00AE2F3A">
        <w:rPr>
          <w:rFonts w:eastAsia="Times New Roman" w:cstheme="minorHAnsi"/>
          <w:color w:val="222222"/>
          <w:rtl/>
        </w:rPr>
        <w:t xml:space="preserve">ד' (עמ' 254-223). תל-אביב: האגודה הישראלית למדע המדינה. </w:t>
      </w:r>
    </w:p>
    <w:p w14:paraId="654BA51C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סימה וקנין גיל, </w:t>
      </w:r>
      <w:hyperlink r:id="rId22" w:history="1">
        <w:r w:rsidRPr="00AE2F3A">
          <w:rPr>
            <w:rStyle w:val="Hyperlink"/>
            <w:rFonts w:cstheme="minorHAnsi"/>
            <w:rtl/>
          </w:rPr>
          <w:t>הצנזורה בישראל</w:t>
        </w:r>
      </w:hyperlink>
      <w:r w:rsidRPr="00AE2F3A">
        <w:rPr>
          <w:rFonts w:cstheme="minorHAnsi"/>
          <w:rtl/>
        </w:rPr>
        <w:t xml:space="preserve"> – התאמת דגם הצנזורה והתשתית החוקית לנורמה הנוהגת בישראל. </w:t>
      </w:r>
      <w:r w:rsidRPr="00AE2F3A">
        <w:rPr>
          <w:rFonts w:cstheme="minorHAnsi"/>
          <w:i/>
          <w:iCs/>
          <w:rtl/>
        </w:rPr>
        <w:t>משפט וצבא</w:t>
      </w:r>
      <w:r w:rsidRPr="00AE2F3A">
        <w:rPr>
          <w:rFonts w:cstheme="minorHAnsi"/>
          <w:rtl/>
        </w:rPr>
        <w:t xml:space="preserve"> 21 (א), 69 – 156, 2015 .</w:t>
      </w:r>
    </w:p>
    <w:p w14:paraId="220A1F08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צו שעת חירום (</w:t>
      </w:r>
      <w:hyperlink r:id="rId23" w:history="1">
        <w:r w:rsidRPr="00AE2F3A">
          <w:rPr>
            <w:rStyle w:val="Hyperlink"/>
            <w:rFonts w:cstheme="minorHAnsi"/>
            <w:rtl/>
          </w:rPr>
          <w:t>רשימת הנושאים הטעונים ביקורת מוקדמת של הצנזורה</w:t>
        </w:r>
      </w:hyperlink>
      <w:r w:rsidRPr="00AE2F3A">
        <w:rPr>
          <w:rFonts w:cstheme="minorHAnsi"/>
          <w:rtl/>
        </w:rPr>
        <w:t>).</w:t>
      </w:r>
    </w:p>
    <w:p w14:paraId="7955330B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234/84 "חדשות" ואח' נ. שר הביטחון ואח', פ"ד ל"ח (2) 477 </w:t>
      </w:r>
      <w:hyperlink r:id="rId24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, מאתר העין השביעית. </w:t>
      </w:r>
      <w:r w:rsidRPr="00AE2F3A">
        <w:rPr>
          <w:rFonts w:cstheme="minorHAnsi"/>
          <w:rtl/>
        </w:rPr>
        <w:t xml:space="preserve"> </w:t>
      </w:r>
    </w:p>
    <w:p w14:paraId="54943597" w14:textId="77777777" w:rsidR="003D4A60" w:rsidRPr="00AE2F3A" w:rsidRDefault="003D4A60" w:rsidP="003D4A60">
      <w:pPr>
        <w:pStyle w:val="a5"/>
        <w:numPr>
          <w:ilvl w:val="0"/>
          <w:numId w:val="4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680/88 שניצר ואח' נ. הצנזור הצבאי הראשי ואח', פ"ד מ"ב (4) 617 </w:t>
      </w:r>
      <w:hyperlink r:id="rId25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, מאתר העין השביעית. </w:t>
      </w:r>
      <w:r w:rsidRPr="00AE2F3A">
        <w:rPr>
          <w:rFonts w:cstheme="minorHAnsi"/>
          <w:rtl/>
        </w:rPr>
        <w:t xml:space="preserve"> </w:t>
      </w:r>
    </w:p>
    <w:p w14:paraId="54D8C0CA" w14:textId="77777777" w:rsidR="003D4A60" w:rsidRPr="00242693" w:rsidRDefault="003D4A60" w:rsidP="003D4A60">
      <w:pPr>
        <w:bidi/>
        <w:spacing w:after="0" w:line="240" w:lineRule="auto"/>
        <w:ind w:left="560" w:right="-851" w:hanging="567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6</w:t>
      </w:r>
      <w:r w:rsidRPr="00242693">
        <w:rPr>
          <w:rFonts w:cstheme="minorHAnsi"/>
          <w:b/>
          <w:bCs/>
          <w:sz w:val="24"/>
          <w:szCs w:val="24"/>
          <w:u w:val="single"/>
          <w:rtl/>
          <w:lang w:val="en-GB"/>
        </w:rPr>
        <w:t>: עיתונות חוקרת: מאבקים על חופש הביטוי בעולם ובארץ (מסמכי הפנטגון, פרשת ווטרגייט, צ</w:t>
      </w:r>
      <w:r w:rsidRPr="00242693">
        <w:rPr>
          <w:rFonts w:cstheme="minorHAnsi" w:hint="cs"/>
          <w:b/>
          <w:bCs/>
          <w:sz w:val="24"/>
          <w:szCs w:val="24"/>
          <w:u w:val="single"/>
          <w:rtl/>
          <w:lang w:val="en-GB"/>
        </w:rPr>
        <w:t>א"פ)</w:t>
      </w:r>
    </w:p>
    <w:p w14:paraId="1A68E48B" w14:textId="77777777" w:rsidR="003D4A60" w:rsidRPr="00AE2F3A" w:rsidRDefault="005F213F" w:rsidP="003D4A60">
      <w:pPr>
        <w:pStyle w:val="a5"/>
        <w:numPr>
          <w:ilvl w:val="0"/>
          <w:numId w:val="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26" w:anchor="Seif117" w:history="1">
        <w:r w:rsidR="003D4A60" w:rsidRPr="00AE2F3A">
          <w:rPr>
            <w:rStyle w:val="Hyperlink"/>
            <w:rFonts w:cstheme="minorHAnsi"/>
            <w:rtl/>
          </w:rPr>
          <w:t>חוק בתי המשפט (נוסח משולב),  התשמ"ד – 1984</w:t>
        </w:r>
      </w:hyperlink>
      <w:r w:rsidR="003D4A60" w:rsidRPr="00AE2F3A">
        <w:rPr>
          <w:rFonts w:cstheme="minorHAnsi"/>
          <w:rtl/>
        </w:rPr>
        <w:t>. סעיפים 68, 70 (א'-ה') ו-71.</w:t>
      </w:r>
    </w:p>
    <w:p w14:paraId="45147632" w14:textId="77777777" w:rsidR="003D4A60" w:rsidRPr="00AE2F3A" w:rsidRDefault="003D4A60" w:rsidP="003D4A60">
      <w:pPr>
        <w:pStyle w:val="a5"/>
        <w:numPr>
          <w:ilvl w:val="0"/>
          <w:numId w:val="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נעה לנדאו, </w:t>
      </w:r>
      <w:hyperlink r:id="rId27" w:history="1">
        <w:r w:rsidRPr="00AE2F3A">
          <w:rPr>
            <w:rStyle w:val="Hyperlink"/>
            <w:rFonts w:cstheme="minorHAnsi"/>
            <w:rtl/>
          </w:rPr>
          <w:t>המדינה מול התקשורת</w:t>
        </w:r>
      </w:hyperlink>
      <w:r w:rsidRPr="00AE2F3A">
        <w:rPr>
          <w:rFonts w:cstheme="minorHAnsi"/>
          <w:rtl/>
        </w:rPr>
        <w:t>: עליית השימוש בצווי איסור פרסום בישראל, מכון רויטרס, 2016.</w:t>
      </w:r>
    </w:p>
    <w:p w14:paraId="3D0743DE" w14:textId="77777777" w:rsidR="003D4A60" w:rsidRPr="00AE2F3A" w:rsidRDefault="003D4A60" w:rsidP="003D4A60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נגבי, מ. (2011). </w:t>
      </w:r>
      <w:r w:rsidRPr="00AE2F3A">
        <w:rPr>
          <w:rFonts w:cstheme="minorHAnsi"/>
          <w:b/>
          <w:bCs/>
          <w:rtl/>
          <w:lang w:val="en-GB"/>
        </w:rPr>
        <w:t>חופש העיתונאי וחופש העיתונות בישראל</w:t>
      </w:r>
      <w:r w:rsidRPr="00AE2F3A">
        <w:rPr>
          <w:rFonts w:cstheme="minorHAnsi"/>
          <w:rtl/>
          <w:lang w:val="en-GB"/>
        </w:rPr>
        <w:t xml:space="preserve">. רעננה: האוניברסיטה הפתוחה. פרק שישי: "סודיות הממשל והמינהל" (עמ' 157-139). </w:t>
      </w:r>
    </w:p>
    <w:p w14:paraId="5AC35E1C" w14:textId="77777777" w:rsidR="003D4A60" w:rsidRPr="00AE2F3A" w:rsidRDefault="005F213F" w:rsidP="003D4A60">
      <w:pPr>
        <w:pStyle w:val="a5"/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222222"/>
          <w:rtl/>
        </w:rPr>
      </w:pPr>
      <w:hyperlink r:id="rId28" w:history="1">
        <w:r w:rsidR="003D4A60" w:rsidRPr="00AE2F3A">
          <w:rPr>
            <w:rStyle w:val="Hyperlink"/>
            <w:rFonts w:eastAsia="Times New Roman" w:cstheme="minorHAnsi"/>
            <w:rtl/>
          </w:rPr>
          <w:t>פקודת סדר הדין הפלילי</w:t>
        </w:r>
      </w:hyperlink>
      <w:r w:rsidR="003D4A60" w:rsidRPr="00AE2F3A">
        <w:rPr>
          <w:rFonts w:eastAsia="Times New Roman" w:cstheme="minorHAnsi"/>
          <w:color w:val="222222"/>
          <w:rtl/>
        </w:rPr>
        <w:t xml:space="preserve"> (מעצר וחיפוש) סעיפים 23,23א</w:t>
      </w:r>
    </w:p>
    <w:p w14:paraId="13FE366F" w14:textId="77777777" w:rsidR="003D4A60" w:rsidRPr="00AE2F3A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ב"ש 298/86 368/86 בן ציון ציטרין ואח' נ. בית הדין המשמעתי של לשכת עורכי הדין במחוז תל אביב ואח', פ"ד מ"א (2) 337. </w:t>
      </w:r>
      <w:hyperlink r:id="rId29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</w:p>
    <w:p w14:paraId="1A7B0722" w14:textId="77777777" w:rsidR="003D4A60" w:rsidRPr="00AE2F3A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אמיר בשה ומורן סבוראי </w:t>
      </w:r>
      <w:hyperlink r:id="rId30" w:history="1">
        <w:r w:rsidRPr="00AE2F3A">
          <w:rPr>
            <w:rStyle w:val="Hyperlink"/>
            <w:rFonts w:cstheme="minorHAnsi"/>
            <w:rtl/>
          </w:rPr>
          <w:t>המשטרה נגד החיסיון העיתונאי: מה האינטרס של הציבור?</w:t>
        </w:r>
      </w:hyperlink>
      <w:r w:rsidRPr="00AE2F3A">
        <w:rPr>
          <w:rFonts w:cstheme="minorHAnsi"/>
          <w:rtl/>
        </w:rPr>
        <w:t xml:space="preserve"> שיחה מקומית (2016). </w:t>
      </w:r>
    </w:p>
    <w:p w14:paraId="7CCD6FC6" w14:textId="77777777" w:rsidR="003D4A60" w:rsidRDefault="003D4A60" w:rsidP="003D4A60">
      <w:pPr>
        <w:pStyle w:val="a5"/>
        <w:numPr>
          <w:ilvl w:val="0"/>
          <w:numId w:val="13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שירן ירוסלבסקי קרני, ותהילה שוורץ אלטשולר </w:t>
      </w:r>
      <w:hyperlink r:id="rId31" w:history="1">
        <w:r w:rsidRPr="00AE2F3A">
          <w:rPr>
            <w:rStyle w:val="Hyperlink"/>
            <w:rFonts w:cstheme="minorHAnsi"/>
            <w:rtl/>
          </w:rPr>
          <w:t>הסדרת החיסיון העיתונאי</w:t>
        </w:r>
      </w:hyperlink>
      <w:r w:rsidRPr="00AE2F3A">
        <w:rPr>
          <w:rFonts w:cstheme="minorHAnsi"/>
          <w:rtl/>
        </w:rPr>
        <w:t xml:space="preserve">, המכון הישראלי לדמוקרטיה, 2015. </w:t>
      </w:r>
    </w:p>
    <w:p w14:paraId="7046099F" w14:textId="77777777" w:rsidR="003D4A60" w:rsidRPr="00242693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242693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7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:</w:t>
      </w:r>
      <w:r w:rsidRPr="0024269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42693">
        <w:rPr>
          <w:rFonts w:cstheme="minorHAnsi"/>
          <w:b/>
          <w:bCs/>
          <w:sz w:val="24"/>
          <w:szCs w:val="24"/>
          <w:u w:val="single"/>
          <w:rtl/>
        </w:rPr>
        <w:t>חופש המידע ושקיפות: האם מידע יכול להשאר לא נגיש? (פרשת ויקיליקס)</w:t>
      </w:r>
    </w:p>
    <w:p w14:paraId="49EBFAFE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שוורץ אלטשולר</w:t>
      </w:r>
      <w:r>
        <w:rPr>
          <w:rFonts w:cstheme="minorHAnsi" w:hint="cs"/>
          <w:rtl/>
        </w:rPr>
        <w:t>, ת. וארבל, י. (2008)</w:t>
      </w:r>
      <w:r w:rsidRPr="00AE2F3A">
        <w:rPr>
          <w:rFonts w:cstheme="minorHAnsi"/>
          <w:rtl/>
        </w:rPr>
        <w:t xml:space="preserve">, </w:t>
      </w:r>
      <w:hyperlink r:id="rId32" w:history="1">
        <w:r w:rsidRPr="00AE2F3A">
          <w:rPr>
            <w:rStyle w:val="Hyperlink"/>
            <w:rFonts w:cstheme="minorHAnsi"/>
            <w:rtl/>
          </w:rPr>
          <w:t>מידע רוצה להיות חופשי</w:t>
        </w:r>
      </w:hyperlink>
      <w:r w:rsidRPr="00AE2F3A">
        <w:rPr>
          <w:rFonts w:cstheme="minorHAnsi"/>
          <w:rtl/>
        </w:rPr>
        <w:t>: על הטמעת חוק חופש המידע בישראל. ירושלים: המכון הישראלי לדמוקרטיה</w:t>
      </w:r>
      <w:r>
        <w:rPr>
          <w:rFonts w:cstheme="minorHAnsi" w:hint="cs"/>
          <w:rtl/>
        </w:rPr>
        <w:t xml:space="preserve">. </w:t>
      </w:r>
      <w:r w:rsidRPr="00AE2F3A">
        <w:rPr>
          <w:rFonts w:cstheme="minorHAnsi"/>
          <w:rtl/>
        </w:rPr>
        <w:t xml:space="preserve"> </w:t>
      </w:r>
    </w:p>
    <w:p w14:paraId="7D08C134" w14:textId="77777777" w:rsidR="003D4A60" w:rsidRPr="00AE2F3A" w:rsidRDefault="005F213F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33" w:history="1">
        <w:r w:rsidR="003D4A60" w:rsidRPr="00AE2F3A">
          <w:rPr>
            <w:rStyle w:val="Hyperlink"/>
            <w:rFonts w:cstheme="minorHAnsi"/>
            <w:rtl/>
          </w:rPr>
          <w:t>חוק חופש המידע, התשנ"ח - 1998</w:t>
        </w:r>
      </w:hyperlink>
      <w:r w:rsidR="003D4A60" w:rsidRPr="00AE2F3A">
        <w:rPr>
          <w:rFonts w:cstheme="minorHAnsi"/>
          <w:rtl/>
        </w:rPr>
        <w:t xml:space="preserve">. </w:t>
      </w:r>
    </w:p>
    <w:p w14:paraId="53E8ED69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עע"ם 6013/04 מדינת ישראל, משרד התחבורה נ. חברת החדשות הישראלית בע"מ. </w:t>
      </w:r>
      <w:hyperlink r:id="rId34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השביעית.</w:t>
      </w:r>
    </w:p>
    <w:p w14:paraId="29E8C95C" w14:textId="77777777" w:rsidR="003D4A60" w:rsidRPr="00AE2F3A" w:rsidRDefault="003D4A60" w:rsidP="003D4A60">
      <w:pPr>
        <w:pStyle w:val="a5"/>
        <w:numPr>
          <w:ilvl w:val="0"/>
          <w:numId w:val="6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 xml:space="preserve">עע"ם 9315/03, 9738/04 המועצה להשכלה גבוהה נ. עיתון הארץ. </w:t>
      </w:r>
      <w:hyperlink r:id="rId35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>, מאתר העין השביעית</w:t>
      </w:r>
      <w:r w:rsidRPr="00AE2F3A">
        <w:rPr>
          <w:rFonts w:cstheme="minorHAnsi"/>
          <w:rtl/>
        </w:rPr>
        <w:t>.</w:t>
      </w:r>
    </w:p>
    <w:p w14:paraId="62819DB2" w14:textId="77777777" w:rsidR="003D4A60" w:rsidRPr="00AE2F3A" w:rsidRDefault="003D4A60" w:rsidP="003D4A60">
      <w:pPr>
        <w:bidi/>
        <w:spacing w:after="0" w:line="240" w:lineRule="auto"/>
        <w:ind w:left="276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אתרים רלוונטיים: </w:t>
      </w:r>
      <w:hyperlink r:id="rId36" w:history="1">
        <w:r w:rsidRPr="00AE2F3A">
          <w:rPr>
            <w:rStyle w:val="Hyperlink"/>
            <w:rFonts w:cstheme="minorHAnsi"/>
            <w:rtl/>
          </w:rPr>
          <w:t>התנועה לחופש המידע</w:t>
        </w:r>
      </w:hyperlink>
      <w:r w:rsidRPr="00AE2F3A">
        <w:rPr>
          <w:rStyle w:val="Hyperlink"/>
          <w:rFonts w:cstheme="minorHAnsi"/>
          <w:rtl/>
        </w:rPr>
        <w:t xml:space="preserve">, </w:t>
      </w:r>
      <w:r w:rsidRPr="00AE2F3A">
        <w:rPr>
          <w:rFonts w:cstheme="minorHAnsi"/>
          <w:rtl/>
        </w:rPr>
        <w:t xml:space="preserve"> </w:t>
      </w:r>
      <w:hyperlink r:id="rId37" w:history="1">
        <w:r w:rsidRPr="00AE2F3A">
          <w:rPr>
            <w:rStyle w:val="Hyperlink"/>
            <w:rFonts w:cstheme="minorHAnsi"/>
            <w:rtl/>
          </w:rPr>
          <w:t>היחידה לחופש מידע במשרד המשפטים</w:t>
        </w:r>
      </w:hyperlink>
    </w:p>
    <w:p w14:paraId="218B9640" w14:textId="77777777" w:rsidR="003D4A60" w:rsidRPr="0047129B" w:rsidRDefault="003D4A60" w:rsidP="003D4A60">
      <w:pPr>
        <w:bidi/>
        <w:spacing w:after="0" w:line="240" w:lineRule="auto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8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ערכים מתנגשים: לשון הרע והזכות לפרטיות מול חופש הביטוי וחופש המידע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(ומה ההבדל העקרוני בין לייק לבין שיתוף ברשתות החברתיות)</w:t>
      </w:r>
    </w:p>
    <w:p w14:paraId="030FCDE6" w14:textId="77777777" w:rsidR="003D4A60" w:rsidRPr="00AE2F3A" w:rsidRDefault="005F213F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38" w:history="1">
        <w:r w:rsidR="003D4A60" w:rsidRPr="00AE2F3A">
          <w:rPr>
            <w:rStyle w:val="Hyperlink"/>
            <w:rFonts w:cstheme="minorHAnsi"/>
            <w:rtl/>
          </w:rPr>
          <w:t>חוק איסור לשון הרע, התשכ"ה - 1965</w:t>
        </w:r>
      </w:hyperlink>
      <w:r w:rsidR="003D4A60" w:rsidRPr="00AE2F3A">
        <w:rPr>
          <w:rFonts w:cstheme="minorHAnsi"/>
          <w:rtl/>
        </w:rPr>
        <w:t>.</w:t>
      </w:r>
    </w:p>
    <w:p w14:paraId="105AB052" w14:textId="77777777" w:rsidR="003D4A60" w:rsidRPr="00945785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>
        <w:rPr>
          <w:rFonts w:cstheme="minorHAnsi" w:hint="cs"/>
          <w:rtl/>
        </w:rPr>
        <w:t xml:space="preserve">על ההבדל בין לייק לבין שיתוף (2019): </w:t>
      </w:r>
      <w:hyperlink r:id="rId39" w:history="1">
        <w:r w:rsidRPr="009A2FAF">
          <w:rPr>
            <w:rStyle w:val="Hyperlink"/>
            <w:rFonts w:cs="Calibri"/>
            <w:rtl/>
          </w:rPr>
          <w:t>ע"א 35757-10-16 נידיילי תקשורת בע"מ נ' שאול ואח'</w:t>
        </w:r>
      </w:hyperlink>
    </w:p>
    <w:p w14:paraId="022B0360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ד"נ 9/77 חברת החשמל לישראל בע"מ נ. הוצאת עיתון הארץ בע"מ, פ"ד ל"ב (3) 337. </w:t>
      </w:r>
      <w:hyperlink r:id="rId40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472D2C3A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דנ"א 2121/12 פלוני נ. ד"ר אילנה דיין-אורבך. </w:t>
      </w:r>
      <w:hyperlink r:id="rId41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2B068950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דנ"א 7325/95 ידיעות אחרונות בע"מ נ. יוסף קראוס ואח', פ"ד נ"ב (3) 1. </w:t>
      </w:r>
      <w:r w:rsidRPr="00AE2F3A">
        <w:rPr>
          <w:rFonts w:cstheme="minorHAnsi"/>
          <w:rtl/>
        </w:rPr>
        <w:fldChar w:fldCharType="begin"/>
      </w:r>
      <w:r w:rsidRPr="00AE2F3A">
        <w:rPr>
          <w:rFonts w:cstheme="minorHAnsi"/>
          <w:rtl/>
        </w:rPr>
        <w:instrText xml:space="preserve"> </w:instrText>
      </w:r>
      <w:r w:rsidRPr="00AE2F3A">
        <w:rPr>
          <w:rFonts w:cstheme="minorHAnsi"/>
        </w:rPr>
        <w:instrText>HYPERLINK</w:instrText>
      </w:r>
      <w:r w:rsidRPr="00AE2F3A">
        <w:rPr>
          <w:rFonts w:cstheme="minorHAnsi"/>
          <w:rtl/>
        </w:rPr>
        <w:instrText xml:space="preserve"> "</w:instrText>
      </w:r>
      <w:r w:rsidRPr="00AE2F3A">
        <w:rPr>
          <w:rFonts w:cstheme="minorHAnsi"/>
        </w:rPr>
        <w:instrText>http://www.the7eye.org.il/verdicts/52818</w:instrText>
      </w:r>
      <w:r w:rsidRPr="00AE2F3A">
        <w:rPr>
          <w:rFonts w:cstheme="minorHAnsi"/>
          <w:rtl/>
        </w:rPr>
        <w:instrText xml:space="preserve">" </w:instrText>
      </w:r>
      <w:r w:rsidRPr="00AE2F3A">
        <w:rPr>
          <w:rFonts w:cstheme="minorHAnsi"/>
          <w:rtl/>
        </w:rPr>
        <w:fldChar w:fldCharType="separate"/>
      </w:r>
      <w:r w:rsidRPr="00AE2F3A">
        <w:rPr>
          <w:rStyle w:val="Hyperlink"/>
          <w:rFonts w:cstheme="minorHAnsi"/>
          <w:rtl/>
        </w:rPr>
        <w:t xml:space="preserve">עיקרי הפסיקה מאתר העין השביעית. </w:t>
      </w:r>
    </w:p>
    <w:p w14:paraId="34CE7D2F" w14:textId="77777777" w:rsidR="003D4A60" w:rsidRPr="00AE2F3A" w:rsidRDefault="003D4A60" w:rsidP="003D4A60">
      <w:pPr>
        <w:pStyle w:val="a5"/>
        <w:numPr>
          <w:ilvl w:val="0"/>
          <w:numId w:val="9"/>
        </w:numPr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fldChar w:fldCharType="end"/>
      </w:r>
      <w:r w:rsidRPr="00AE2F3A">
        <w:rPr>
          <w:rFonts w:cstheme="minorHAnsi"/>
          <w:rtl/>
        </w:rPr>
        <w:t xml:space="preserve">ע"א 323/98 אריאל שרון נ. עוזי בנזימן ואח'. </w:t>
      </w:r>
      <w:hyperlink r:id="rId42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</w:p>
    <w:p w14:paraId="70A5339C" w14:textId="77777777" w:rsidR="003D4A60" w:rsidRPr="00AE2F3A" w:rsidRDefault="003D4A60" w:rsidP="003D4A60">
      <w:pPr>
        <w:pStyle w:val="a5"/>
        <w:numPr>
          <w:ilvl w:val="0"/>
          <w:numId w:val="9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ע"א 8345/08 עו"ד עופר בן נתן ואח' נ. מוחמד בכרי, </w:t>
      </w:r>
      <w:hyperlink r:id="rId43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בתי המשפט.</w:t>
      </w:r>
    </w:p>
    <w:p w14:paraId="0CB9E914" w14:textId="77777777" w:rsidR="003D4A60" w:rsidRPr="00AE2F3A" w:rsidRDefault="003D4A60" w:rsidP="003D4A60">
      <w:pPr>
        <w:pStyle w:val="4"/>
        <w:tabs>
          <w:tab w:val="left" w:pos="284"/>
        </w:tabs>
        <w:bidi/>
        <w:adjustRightInd w:val="0"/>
        <w:spacing w:before="0" w:line="240" w:lineRule="auto"/>
        <w:ind w:left="360"/>
        <w:textAlignment w:val="baseline"/>
        <w:rPr>
          <w:rFonts w:asciiTheme="minorHAnsi" w:hAnsiTheme="minorHAnsi" w:cstheme="minorHAnsi"/>
          <w:b/>
          <w:bCs/>
          <w:i w:val="0"/>
          <w:iCs w:val="0"/>
          <w:color w:val="auto"/>
          <w:rtl/>
        </w:rPr>
      </w:pPr>
      <w:r w:rsidRPr="00AE2F3A">
        <w:rPr>
          <w:rFonts w:asciiTheme="minorHAnsi" w:hAnsiTheme="minorHAnsi" w:cstheme="minorHAnsi"/>
          <w:i w:val="0"/>
          <w:iCs w:val="0"/>
          <w:color w:val="auto"/>
          <w:rtl/>
        </w:rPr>
        <w:t>מניעה מוקדמת של פרסום לשון הרע</w:t>
      </w:r>
    </w:p>
    <w:p w14:paraId="532F4C0D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ע"א 214/89 אריה אבנרי נ. אברהם שפירא, פ"ד מ"ג (3) 840, </w:t>
      </w:r>
      <w:hyperlink r:id="rId44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  <w:r w:rsidRPr="00AE2F3A">
        <w:rPr>
          <w:rFonts w:cstheme="minorHAnsi"/>
          <w:rtl/>
        </w:rPr>
        <w:t xml:space="preserve"> </w:t>
      </w:r>
    </w:p>
    <w:p w14:paraId="588579DE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Fonts w:cstheme="minorHAnsi"/>
          <w:rtl/>
        </w:rPr>
      </w:pPr>
      <w:r w:rsidRPr="00AE2F3A">
        <w:rPr>
          <w:rFonts w:cstheme="minorHAnsi"/>
          <w:rtl/>
        </w:rPr>
        <w:t>דוקודרמה ולשון הרע</w:t>
      </w:r>
    </w:p>
    <w:p w14:paraId="13A1301D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360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6126/94 גיורא סנש נ. רשות השידור ואח', פ"ד נ"ג (3) 817. </w:t>
      </w:r>
      <w:hyperlink r:id="rId45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29BF82AE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הזכות לפרטיות</w:t>
      </w:r>
    </w:p>
    <w:p w14:paraId="33052541" w14:textId="77777777" w:rsidR="003D4A60" w:rsidRPr="00AE2F3A" w:rsidRDefault="005F213F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46" w:history="1">
        <w:r w:rsidR="003D4A60" w:rsidRPr="00AE2F3A">
          <w:rPr>
            <w:rStyle w:val="Hyperlink"/>
            <w:rFonts w:cstheme="minorHAnsi"/>
            <w:rtl/>
          </w:rPr>
          <w:t xml:space="preserve">חוק האזנת סתר, התשל"ט – 1979, סעיפים </w:t>
        </w:r>
        <w:r w:rsidR="003D4A60" w:rsidRPr="00AE2F3A">
          <w:rPr>
            <w:rStyle w:val="Hyperlink"/>
            <w:rFonts w:cstheme="minorHAnsi"/>
          </w:rPr>
          <w:t>2-1</w:t>
        </w:r>
        <w:r w:rsidR="003D4A60" w:rsidRPr="00AE2F3A">
          <w:rPr>
            <w:rStyle w:val="Hyperlink"/>
            <w:rFonts w:cstheme="minorHAnsi"/>
            <w:rtl/>
          </w:rPr>
          <w:t xml:space="preserve">. </w:t>
        </w:r>
      </w:hyperlink>
      <w:r w:rsidR="003D4A60" w:rsidRPr="00AE2F3A">
        <w:rPr>
          <w:rStyle w:val="Hyperlink"/>
          <w:rFonts w:cstheme="minorHAnsi"/>
        </w:rPr>
        <w:t xml:space="preserve"> </w:t>
      </w:r>
      <w:r w:rsidR="003D4A60" w:rsidRPr="00AE2F3A">
        <w:rPr>
          <w:rFonts w:cstheme="minorHAnsi"/>
          <w:rtl/>
        </w:rPr>
        <w:t xml:space="preserve"> </w:t>
      </w:r>
    </w:p>
    <w:p w14:paraId="6772F27F" w14:textId="77777777" w:rsidR="003D4A60" w:rsidRPr="00AE2F3A" w:rsidRDefault="005F213F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47" w:history="1">
        <w:r w:rsidR="003D4A60" w:rsidRPr="00AE2F3A">
          <w:rPr>
            <w:rStyle w:val="Hyperlink"/>
            <w:rFonts w:cstheme="minorHAnsi"/>
            <w:rtl/>
          </w:rPr>
          <w:t>חוק הגנת הפרטיות, התשמ"א – 1981, סעיפים 1, 2, 18, 30, 31.</w:t>
        </w:r>
      </w:hyperlink>
      <w:r w:rsidR="003D4A60" w:rsidRPr="00AE2F3A">
        <w:rPr>
          <w:rFonts w:cstheme="minorHAnsi"/>
          <w:rtl/>
        </w:rPr>
        <w:t xml:space="preserve"> </w:t>
      </w:r>
    </w:p>
    <w:p w14:paraId="3FCDE1B5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המ' (ת"א) 5360/85 ברוך אבו חצירא נ. העיתון </w:t>
      </w:r>
      <w:r w:rsidRPr="00AE2F3A">
        <w:rPr>
          <w:rFonts w:cstheme="minorHAnsi"/>
          <w:i/>
          <w:iCs/>
          <w:rtl/>
        </w:rPr>
        <w:t>חדשות</w:t>
      </w:r>
      <w:r w:rsidRPr="00AE2F3A">
        <w:rPr>
          <w:rFonts w:cstheme="minorHAnsi"/>
          <w:rtl/>
        </w:rPr>
        <w:t xml:space="preserve"> ואח', פ"מ תשמ"ה (3) 478. </w:t>
      </w:r>
      <w:hyperlink r:id="rId48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 </w:t>
      </w:r>
    </w:p>
    <w:p w14:paraId="5858A1FD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ind w:right="-567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ע"פ 11793/05 חברת החדשות הישראלית בע"מ נ. מדינת ישראל ואח'. </w:t>
      </w:r>
      <w:hyperlink r:id="rId49" w:history="1">
        <w:r w:rsidRPr="00AE2F3A">
          <w:rPr>
            <w:rStyle w:val="Hyperlink"/>
            <w:rFonts w:cstheme="minorHAnsi"/>
            <w:rtl/>
          </w:rPr>
          <w:t>עיקרי הפסיקה מאתר העין השביעית</w:t>
        </w:r>
      </w:hyperlink>
      <w:r w:rsidRPr="00AE2F3A">
        <w:rPr>
          <w:rStyle w:val="Hyperlink"/>
          <w:rFonts w:cstheme="minorHAnsi"/>
          <w:rtl/>
        </w:rPr>
        <w:t>.</w:t>
      </w:r>
      <w:r w:rsidRPr="00AE2F3A">
        <w:rPr>
          <w:rFonts w:cstheme="minorHAnsi"/>
          <w:rtl/>
        </w:rPr>
        <w:t xml:space="preserve"> </w:t>
      </w:r>
    </w:p>
    <w:p w14:paraId="5B4B3A74" w14:textId="77777777" w:rsidR="003D4A60" w:rsidRPr="00AE2F3A" w:rsidRDefault="003D4A60" w:rsidP="003D4A60">
      <w:pPr>
        <w:pStyle w:val="a5"/>
        <w:numPr>
          <w:ilvl w:val="0"/>
          <w:numId w:val="7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ע"א 8954/11 פלוני נ. פלונית. </w:t>
      </w:r>
      <w:hyperlink r:id="rId50" w:history="1">
        <w:r w:rsidRPr="00AE2F3A">
          <w:rPr>
            <w:rStyle w:val="Hyperlink"/>
            <w:rFonts w:cstheme="minorHAnsi"/>
            <w:rtl/>
          </w:rPr>
          <w:t>עיקרי הפסיקה מאתר</w:t>
        </w:r>
      </w:hyperlink>
      <w:r w:rsidRPr="00AE2F3A">
        <w:rPr>
          <w:rStyle w:val="Hyperlink"/>
          <w:rFonts w:cstheme="minorHAnsi"/>
          <w:rtl/>
        </w:rPr>
        <w:t xml:space="preserve"> העין השביעית. </w:t>
      </w:r>
    </w:p>
    <w:p w14:paraId="700E6248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9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כל מה שאסור: הגבלת חופש הביטוי בדין הפלילי</w:t>
      </w:r>
    </w:p>
    <w:p w14:paraId="72DD64CE" w14:textId="77777777" w:rsidR="003D4A60" w:rsidRPr="00461768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461768">
        <w:rPr>
          <w:rFonts w:cstheme="minorHAnsi"/>
          <w:rtl/>
        </w:rPr>
        <w:t>פגיעה ברגשות:</w:t>
      </w:r>
    </w:p>
    <w:p w14:paraId="32712E65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פגיעה ברגשי דת – </w:t>
      </w:r>
      <w:hyperlink r:id="rId51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 xml:space="preserve"> סעיף 173.</w:t>
      </w:r>
    </w:p>
    <w:p w14:paraId="3B0DA066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פרסומי תועבה – </w:t>
      </w:r>
      <w:hyperlink r:id="rId52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 xml:space="preserve"> סעיפים 214,214א,214ב. </w:t>
      </w:r>
    </w:p>
    <w:p w14:paraId="14CF3C61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4804/94 חברת </w:t>
      </w:r>
      <w:hyperlink r:id="rId53" w:history="1">
        <w:r w:rsidRPr="00AE2F3A">
          <w:rPr>
            <w:rStyle w:val="Hyperlink"/>
            <w:rFonts w:cstheme="minorHAnsi"/>
            <w:rtl/>
          </w:rPr>
          <w:t>סטיישן פילם</w:t>
        </w:r>
      </w:hyperlink>
      <w:r w:rsidRPr="00AE2F3A">
        <w:rPr>
          <w:rFonts w:cstheme="minorHAnsi"/>
          <w:rtl/>
        </w:rPr>
        <w:t xml:space="preserve"> בע"מ נ. המועצה לביקורת סרטים ומחזות, פ"ד נ(5) 661. עיקרי הפסיקה מוויקיפדיה. </w:t>
      </w:r>
    </w:p>
    <w:p w14:paraId="6D4C081D" w14:textId="77777777" w:rsidR="003D4A60" w:rsidRPr="00AE2F3A" w:rsidRDefault="003D4A60" w:rsidP="003D4A60">
      <w:pPr>
        <w:pStyle w:val="a5"/>
        <w:numPr>
          <w:ilvl w:val="0"/>
          <w:numId w:val="16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316/03 מוחמד בכרי ואח' נ. המועצה לביקורת סרטים ומחזות, פ"ד נ"ח(1) 249. </w:t>
      </w:r>
      <w:hyperlink r:id="rId54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 </w:t>
      </w:r>
      <w:r w:rsidRPr="00AE2F3A">
        <w:rPr>
          <w:rFonts w:cstheme="minorHAnsi"/>
          <w:rtl/>
        </w:rPr>
        <w:t xml:space="preserve"> </w:t>
      </w:r>
    </w:p>
    <w:p w14:paraId="18E02731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הסתה לגזענות, לאלימות ולטרור:</w:t>
      </w:r>
    </w:p>
    <w:p w14:paraId="6A4C3094" w14:textId="77777777" w:rsidR="003D4A60" w:rsidRPr="00AE2F3A" w:rsidRDefault="005F213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5" w:history="1">
        <w:r w:rsidR="003D4A60" w:rsidRPr="00AE2F3A">
          <w:rPr>
            <w:rStyle w:val="Hyperlink"/>
            <w:rFonts w:cstheme="minorHAnsi"/>
            <w:rtl/>
          </w:rPr>
          <w:t>חוק העונשין סעיפים 144א-144ד</w:t>
        </w:r>
      </w:hyperlink>
    </w:p>
    <w:p w14:paraId="07F09D4C" w14:textId="77777777" w:rsidR="003D4A60" w:rsidRPr="00AE2F3A" w:rsidRDefault="005F213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6" w:history="1">
        <w:r w:rsidR="003D4A60" w:rsidRPr="00AE2F3A">
          <w:rPr>
            <w:rStyle w:val="Hyperlink"/>
            <w:rFonts w:cstheme="minorHAnsi"/>
            <w:rtl/>
          </w:rPr>
          <w:t>חוק המאבק בטרור</w:t>
        </w:r>
      </w:hyperlink>
      <w:r w:rsidR="003D4A60" w:rsidRPr="00AE2F3A">
        <w:rPr>
          <w:rFonts w:cstheme="minorHAnsi"/>
          <w:rtl/>
        </w:rPr>
        <w:t xml:space="preserve"> סעיף 9. </w:t>
      </w:r>
    </w:p>
    <w:p w14:paraId="34CF25EE" w14:textId="77777777" w:rsidR="003D4A60" w:rsidRPr="00AE2F3A" w:rsidRDefault="005F213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7" w:history="1">
        <w:r w:rsidR="003D4A60" w:rsidRPr="00AE2F3A">
          <w:rPr>
            <w:rStyle w:val="Hyperlink"/>
            <w:rFonts w:cstheme="minorHAnsi"/>
            <w:rtl/>
          </w:rPr>
          <w:t>חוק איסור אלימות בספורט</w:t>
        </w:r>
      </w:hyperlink>
      <w:r w:rsidR="003D4A60" w:rsidRPr="00AE2F3A">
        <w:rPr>
          <w:rFonts w:cstheme="minorHAnsi"/>
          <w:rtl/>
        </w:rPr>
        <w:t xml:space="preserve"> סעיפים 15,17</w:t>
      </w:r>
    </w:p>
    <w:p w14:paraId="09EEF395" w14:textId="77777777" w:rsidR="003D4A60" w:rsidRPr="00AE2F3A" w:rsidRDefault="005F213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58" w:history="1">
        <w:r w:rsidR="003D4A60" w:rsidRPr="00AE2F3A">
          <w:rPr>
            <w:rStyle w:val="Hyperlink"/>
            <w:rFonts w:cstheme="minorHAnsi"/>
            <w:rtl/>
          </w:rPr>
          <w:t>חוק איסור הכחשת השואה</w:t>
        </w:r>
      </w:hyperlink>
    </w:p>
    <w:p w14:paraId="2F033F9F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הסתה לגזענות:</w:t>
      </w:r>
    </w:p>
    <w:p w14:paraId="2AAC7BD9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בג"צ 399/85 כהנא ואח' נ. הוועד המנהל של רשות השידור ואח', פ"ד מ"א (3) 255. </w:t>
      </w:r>
      <w:hyperlink r:id="rId59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3617F971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ע"פ 2831/95 </w:t>
      </w:r>
      <w:hyperlink r:id="rId60" w:history="1">
        <w:r w:rsidRPr="00AE2F3A">
          <w:rPr>
            <w:rStyle w:val="Hyperlink"/>
            <w:rFonts w:cstheme="minorHAnsi"/>
            <w:rtl/>
          </w:rPr>
          <w:t>אלבה</w:t>
        </w:r>
      </w:hyperlink>
      <w:r w:rsidRPr="00AE2F3A">
        <w:rPr>
          <w:rFonts w:cstheme="minorHAnsi"/>
          <w:rtl/>
        </w:rPr>
        <w:t xml:space="preserve"> נ. מדינת ישראל, פ"ד נ (5) 221. עיקרי הפסיקה מוויקיפדיה. </w:t>
      </w:r>
    </w:p>
    <w:p w14:paraId="50C93413" w14:textId="77777777" w:rsidR="003D4A60" w:rsidRPr="00AE2F3A" w:rsidRDefault="003D4A60" w:rsidP="003D4A60">
      <w:pPr>
        <w:pStyle w:val="a5"/>
        <w:numPr>
          <w:ilvl w:val="0"/>
          <w:numId w:val="20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דנ"פ 8613/96 </w:t>
      </w:r>
      <w:hyperlink r:id="rId61" w:history="1">
        <w:r w:rsidRPr="00AE2F3A">
          <w:rPr>
            <w:rStyle w:val="Hyperlink"/>
            <w:rFonts w:cstheme="minorHAnsi"/>
            <w:rtl/>
          </w:rPr>
          <w:t>ג'בארין נ. מדינת ישראל</w:t>
        </w:r>
      </w:hyperlink>
      <w:r w:rsidRPr="00AE2F3A">
        <w:rPr>
          <w:rFonts w:cstheme="minorHAnsi"/>
          <w:rtl/>
        </w:rPr>
        <w:t xml:space="preserve">, פ"ד נ"ד (5) 193. פסק הדין מאתר בתי המשפט.  </w:t>
      </w:r>
    </w:p>
    <w:p w14:paraId="51DF9671" w14:textId="77777777" w:rsidR="003D4A60" w:rsidRPr="00AE2F3A" w:rsidRDefault="003D4A60" w:rsidP="003D4A60">
      <w:pPr>
        <w:pStyle w:val="4"/>
        <w:bidi/>
        <w:spacing w:before="0" w:line="240" w:lineRule="auto"/>
        <w:ind w:left="-90" w:firstLine="360"/>
        <w:rPr>
          <w:rFonts w:asciiTheme="minorHAnsi" w:hAnsiTheme="minorHAnsi" w:cstheme="minorHAnsi"/>
          <w:i w:val="0"/>
          <w:iCs w:val="0"/>
          <w:color w:val="auto"/>
          <w:rtl/>
        </w:rPr>
      </w:pPr>
      <w:r w:rsidRPr="00AE2F3A">
        <w:rPr>
          <w:rFonts w:asciiTheme="minorHAnsi" w:hAnsiTheme="minorHAnsi" w:cstheme="minorHAnsi"/>
          <w:i w:val="0"/>
          <w:iCs w:val="0"/>
          <w:color w:val="auto"/>
          <w:rtl/>
        </w:rPr>
        <w:t xml:space="preserve">הסתה לאלימות: </w:t>
      </w:r>
    </w:p>
    <w:p w14:paraId="099B4937" w14:textId="77777777" w:rsidR="003D4A60" w:rsidRPr="00AE2F3A" w:rsidRDefault="003D4A60" w:rsidP="003D4A60">
      <w:pPr>
        <w:pStyle w:val="a5"/>
        <w:numPr>
          <w:ilvl w:val="0"/>
          <w:numId w:val="19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דנ"פ 1789/98 מדינת ישראל נ. בנימין כהנא, פ"ד נ"ד (5) 145 </w:t>
      </w:r>
      <w:hyperlink r:id="rId62" w:history="1">
        <w:r w:rsidRPr="00AE2F3A">
          <w:rPr>
            <w:rStyle w:val="Hyperlink"/>
            <w:rFonts w:cstheme="minorHAnsi"/>
            <w:rtl/>
          </w:rPr>
          <w:t>עיקרי הפסיקה וקישור להורדת פסק הדין המלא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  <w:r w:rsidRPr="00AE2F3A">
        <w:rPr>
          <w:rFonts w:cstheme="minorHAnsi"/>
          <w:rtl/>
        </w:rPr>
        <w:t xml:space="preserve"> </w:t>
      </w:r>
    </w:p>
    <w:p w14:paraId="2554867E" w14:textId="77777777" w:rsidR="003D4A60" w:rsidRPr="00AE2F3A" w:rsidRDefault="003D4A60" w:rsidP="003D4A60">
      <w:pPr>
        <w:pStyle w:val="a5"/>
        <w:numPr>
          <w:ilvl w:val="0"/>
          <w:numId w:val="19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בג"צ 951/06 עזרא שטיין נ. רב ניצב משה קראדי </w:t>
      </w:r>
      <w:r w:rsidRPr="00AE2F3A">
        <w:rPr>
          <w:rFonts w:cstheme="minorHAnsi"/>
          <w:rtl/>
        </w:rPr>
        <w:fldChar w:fldCharType="begin"/>
      </w:r>
      <w:r w:rsidRPr="00AE2F3A">
        <w:rPr>
          <w:rFonts w:cstheme="minorHAnsi"/>
          <w:rtl/>
        </w:rPr>
        <w:instrText xml:space="preserve"> </w:instrText>
      </w:r>
      <w:r w:rsidRPr="00AE2F3A">
        <w:rPr>
          <w:rFonts w:cstheme="minorHAnsi"/>
        </w:rPr>
        <w:instrText>HYPERLINK</w:instrText>
      </w:r>
      <w:r w:rsidRPr="00AE2F3A">
        <w:rPr>
          <w:rFonts w:cstheme="minorHAnsi"/>
          <w:rtl/>
        </w:rPr>
        <w:instrText xml:space="preserve"> "</w:instrText>
      </w:r>
      <w:r w:rsidRPr="00AE2F3A">
        <w:rPr>
          <w:rFonts w:cstheme="minorHAnsi"/>
        </w:rPr>
        <w:instrText>http://www.psakdin.co.il/Court/%D7%97%D7%95%D7%A7%D7%99%D7%95%D7%AA-%D7%A6%D7%95-%D7%A1%D7%92%D7%99%D7%A8%D7%AA-%D7%A7%D7%A4%D7%94-%D7%90%D7%99%D7%A0%D7%98%D7%A8%D7%A0%D7%98-%D7%91%D7%98%D7%A2%D7%A0%D7%94-%D7%9B%D7%99-%D7%A9%D7%99%D7%9E%D7%A9-%D7%9C%D7%A4%D7%A2%D7%95%D7%9C%D7%95%D7%AA-%D7%AA%D7%A0%D7%95%D7%A2%D7%AA-%22%D7%9B%D7%9A%22-%D7%95%22%D7%9B%22%D7%97%22</w:instrText>
      </w:r>
      <w:r w:rsidRPr="00AE2F3A">
        <w:rPr>
          <w:rFonts w:cstheme="minorHAnsi"/>
          <w:rtl/>
        </w:rPr>
        <w:instrText>" \</w:instrText>
      </w:r>
      <w:r w:rsidRPr="00AE2F3A">
        <w:rPr>
          <w:rFonts w:cstheme="minorHAnsi"/>
        </w:rPr>
        <w:instrText>l</w:instrText>
      </w:r>
      <w:r w:rsidRPr="00AE2F3A">
        <w:rPr>
          <w:rFonts w:cstheme="minorHAnsi"/>
          <w:rtl/>
        </w:rPr>
        <w:instrText xml:space="preserve"> ".</w:instrText>
      </w:r>
      <w:r w:rsidRPr="00AE2F3A">
        <w:rPr>
          <w:rFonts w:cstheme="minorHAnsi"/>
        </w:rPr>
        <w:instrText>VuKXAPl97IU</w:instrText>
      </w:r>
      <w:r w:rsidRPr="00AE2F3A">
        <w:rPr>
          <w:rFonts w:cstheme="minorHAnsi"/>
          <w:rtl/>
        </w:rPr>
        <w:instrText xml:space="preserve">" </w:instrText>
      </w:r>
      <w:r w:rsidRPr="00AE2F3A">
        <w:rPr>
          <w:rFonts w:cstheme="minorHAnsi"/>
          <w:rtl/>
        </w:rPr>
        <w:fldChar w:fldCharType="separate"/>
      </w:r>
      <w:r w:rsidRPr="00AE2F3A">
        <w:rPr>
          <w:rStyle w:val="Hyperlink"/>
          <w:rFonts w:cstheme="minorHAnsi"/>
          <w:rtl/>
        </w:rPr>
        <w:t xml:space="preserve">עיקרי הפסיקה וקישור להורדת פסק הדין מאתר פסקדין. </w:t>
      </w:r>
    </w:p>
    <w:p w14:paraId="36B85C80" w14:textId="77777777" w:rsidR="003D4A60" w:rsidRPr="00AE2F3A" w:rsidRDefault="003D4A60" w:rsidP="003D4A60">
      <w:pPr>
        <w:pStyle w:val="a5"/>
        <w:numPr>
          <w:ilvl w:val="0"/>
          <w:numId w:val="19"/>
        </w:numPr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fldChar w:fldCharType="end"/>
      </w:r>
      <w:r w:rsidRPr="00AE2F3A">
        <w:rPr>
          <w:rFonts w:cstheme="minorHAnsi"/>
          <w:rtl/>
        </w:rPr>
        <w:t xml:space="preserve">ת"פ (י-ם) 44725-12-14 מדינת ישראל נ. שלבי (עציר). </w:t>
      </w:r>
      <w:hyperlink r:id="rId63" w:history="1">
        <w:r w:rsidRPr="00AE2F3A">
          <w:rPr>
            <w:rStyle w:val="Hyperlink"/>
            <w:rFonts w:cstheme="minorHAnsi"/>
            <w:rtl/>
          </w:rPr>
          <w:t>החלטת השופט קורנהאוזר</w:t>
        </w:r>
      </w:hyperlink>
      <w:r w:rsidRPr="00AE2F3A">
        <w:rPr>
          <w:rStyle w:val="Hyperlink"/>
          <w:rFonts w:cstheme="minorHAnsi"/>
          <w:rtl/>
        </w:rPr>
        <w:t xml:space="preserve"> מאתר מרכז מינרבה.</w:t>
      </w:r>
      <w:r w:rsidRPr="00AE2F3A">
        <w:rPr>
          <w:rFonts w:cstheme="minorHAnsi"/>
          <w:rtl/>
        </w:rPr>
        <w:t xml:space="preserve"> </w:t>
      </w:r>
    </w:p>
    <w:p w14:paraId="59C17456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העלבת עובד ציבור:</w:t>
      </w:r>
    </w:p>
    <w:p w14:paraId="6D98FF46" w14:textId="77777777" w:rsidR="003D4A60" w:rsidRPr="00AE2F3A" w:rsidRDefault="005F213F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hyperlink r:id="rId64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סעיף 288.</w:t>
      </w:r>
    </w:p>
    <w:p w14:paraId="2186202F" w14:textId="77777777" w:rsidR="003D4A60" w:rsidRPr="00AE2F3A" w:rsidRDefault="003D4A60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רע"פ 7383/08 יוסף אונגרפלד נ. מדינת ישראל. </w:t>
      </w:r>
      <w:hyperlink r:id="rId65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Fonts w:cstheme="minorHAnsi"/>
          <w:rtl/>
        </w:rPr>
        <w:t xml:space="preserve"> מאתר בתי המשפט. </w:t>
      </w:r>
    </w:p>
    <w:p w14:paraId="318D7960" w14:textId="77777777" w:rsidR="003D4A60" w:rsidRPr="00AE2F3A" w:rsidRDefault="003D4A60" w:rsidP="003D4A60">
      <w:pPr>
        <w:pStyle w:val="a5"/>
        <w:numPr>
          <w:ilvl w:val="0"/>
          <w:numId w:val="18"/>
        </w:numPr>
        <w:tabs>
          <w:tab w:val="left" w:pos="284"/>
        </w:tabs>
        <w:bidi/>
        <w:spacing w:after="0" w:line="240" w:lineRule="auto"/>
        <w:rPr>
          <w:rStyle w:val="Hyperlink"/>
          <w:rFonts w:cstheme="minorHAnsi"/>
          <w:rtl/>
        </w:rPr>
      </w:pPr>
      <w:r w:rsidRPr="00AE2F3A">
        <w:rPr>
          <w:rFonts w:cstheme="minorHAnsi"/>
          <w:rtl/>
        </w:rPr>
        <w:t xml:space="preserve">רע"פ 2533/10 מדינת ישראל נ. מיכאל בן חורין . </w:t>
      </w:r>
      <w:hyperlink r:id="rId66" w:history="1">
        <w:r w:rsidRPr="00AE2F3A">
          <w:rPr>
            <w:rStyle w:val="Hyperlink"/>
            <w:rFonts w:cstheme="minorHAnsi"/>
            <w:rtl/>
          </w:rPr>
          <w:t>פסק הדין</w:t>
        </w:r>
      </w:hyperlink>
      <w:r w:rsidRPr="00AE2F3A">
        <w:rPr>
          <w:rStyle w:val="Hyperlink"/>
          <w:rFonts w:cstheme="minorHAnsi"/>
          <w:rtl/>
        </w:rPr>
        <w:t xml:space="preserve"> מאתר בתי המשפט.</w:t>
      </w:r>
    </w:p>
    <w:p w14:paraId="1B762A99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ind w:left="-90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פגיעה בסדרי המשטר והחברה:</w:t>
      </w:r>
    </w:p>
    <w:p w14:paraId="1F4CF771" w14:textId="77777777" w:rsidR="003D4A60" w:rsidRPr="00AE2F3A" w:rsidRDefault="005F213F" w:rsidP="003D4A60">
      <w:pPr>
        <w:pStyle w:val="a5"/>
        <w:numPr>
          <w:ilvl w:val="0"/>
          <w:numId w:val="17"/>
        </w:numPr>
        <w:tabs>
          <w:tab w:val="left" w:pos="284"/>
        </w:tabs>
        <w:bidi/>
        <w:spacing w:after="0" w:line="240" w:lineRule="auto"/>
        <w:ind w:left="560"/>
        <w:jc w:val="both"/>
        <w:rPr>
          <w:rFonts w:cstheme="minorHAnsi"/>
        </w:rPr>
      </w:pPr>
      <w:hyperlink r:id="rId67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פרק ח' פגיעות בסדרי המשטר והחברה: סימן א' המרדה  (סעיפים 133 – 139).</w:t>
      </w:r>
    </w:p>
    <w:p w14:paraId="66BD64F1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עניינים הנוגעים לקטינים</w:t>
      </w:r>
    </w:p>
    <w:p w14:paraId="0AD668EA" w14:textId="77777777" w:rsidR="003D4A60" w:rsidRPr="00AE2F3A" w:rsidRDefault="005F213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68" w:history="1">
        <w:r w:rsidR="003D4A60" w:rsidRPr="00AE2F3A">
          <w:rPr>
            <w:rStyle w:val="Hyperlink"/>
            <w:rFonts w:cstheme="minorHAnsi"/>
            <w:rtl/>
          </w:rPr>
          <w:t>חוק בתי המשפט</w:t>
        </w:r>
      </w:hyperlink>
      <w:r w:rsidR="003D4A60" w:rsidRPr="00AE2F3A">
        <w:rPr>
          <w:rFonts w:cstheme="minorHAnsi"/>
          <w:rtl/>
        </w:rPr>
        <w:t xml:space="preserve"> סעיפים 68-70 </w:t>
      </w:r>
    </w:p>
    <w:p w14:paraId="5E839A0B" w14:textId="77777777" w:rsidR="003D4A60" w:rsidRPr="00AE2F3A" w:rsidRDefault="005F213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69" w:history="1">
        <w:r w:rsidR="003D4A60" w:rsidRPr="00AE2F3A">
          <w:rPr>
            <w:rStyle w:val="Hyperlink"/>
            <w:rFonts w:cstheme="minorHAnsi"/>
            <w:rtl/>
          </w:rPr>
          <w:t>חוק הנוער (טיפול והשגחה), תש"ך – 1960, סעיפים 24, 24א', 24ב'</w:t>
        </w:r>
      </w:hyperlink>
    </w:p>
    <w:p w14:paraId="79B98B4F" w14:textId="77777777" w:rsidR="003D4A60" w:rsidRPr="00AE2F3A" w:rsidRDefault="005F213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0" w:history="1">
        <w:r w:rsidR="003D4A60" w:rsidRPr="00AE2F3A">
          <w:rPr>
            <w:rStyle w:val="Hyperlink"/>
            <w:rFonts w:cstheme="minorHAnsi"/>
            <w:rtl/>
          </w:rPr>
          <w:t>חוק הנוער (שפיטה, ענישה ודרכי טיפול), תשל"א – 1971, סעיף 9</w:t>
        </w:r>
      </w:hyperlink>
      <w:r w:rsidR="003D4A60" w:rsidRPr="00AE2F3A">
        <w:rPr>
          <w:rFonts w:cstheme="minorHAnsi"/>
          <w:rtl/>
        </w:rPr>
        <w:t xml:space="preserve"> </w:t>
      </w:r>
    </w:p>
    <w:p w14:paraId="5E224471" w14:textId="77777777" w:rsidR="003D4A60" w:rsidRPr="00AE2F3A" w:rsidRDefault="005F213F" w:rsidP="003D4A60">
      <w:pPr>
        <w:pStyle w:val="a5"/>
        <w:numPr>
          <w:ilvl w:val="0"/>
          <w:numId w:val="21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hyperlink r:id="rId71" w:history="1">
        <w:r w:rsidR="003D4A60" w:rsidRPr="00AE2F3A">
          <w:rPr>
            <w:rStyle w:val="Hyperlink"/>
            <w:rFonts w:cstheme="minorHAnsi"/>
            <w:rtl/>
          </w:rPr>
          <w:t>חוק לתיקון דיני הראיות (הגנת ילדים), תשט"ו – 1955, סעיף 6</w:t>
        </w:r>
      </w:hyperlink>
    </w:p>
    <w:p w14:paraId="63A88EDF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  <w:rtl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אוכלוסיות פגיעות</w:t>
      </w:r>
    </w:p>
    <w:p w14:paraId="547DE976" w14:textId="77777777" w:rsidR="003D4A60" w:rsidRPr="00AE2F3A" w:rsidRDefault="005F213F" w:rsidP="003D4A60">
      <w:pPr>
        <w:pStyle w:val="a5"/>
        <w:numPr>
          <w:ilvl w:val="0"/>
          <w:numId w:val="22"/>
        </w:numPr>
        <w:bidi/>
        <w:spacing w:after="0" w:line="240" w:lineRule="auto"/>
        <w:jc w:val="both"/>
        <w:rPr>
          <w:rFonts w:cstheme="minorHAnsi"/>
          <w:rtl/>
        </w:rPr>
      </w:pPr>
      <w:hyperlink r:id="rId72" w:history="1">
        <w:r w:rsidR="003D4A60" w:rsidRPr="00AE2F3A">
          <w:rPr>
            <w:rStyle w:val="Hyperlink"/>
            <w:rFonts w:cstheme="minorHAnsi"/>
            <w:rtl/>
          </w:rPr>
          <w:t>חוק הסעד</w:t>
        </w:r>
      </w:hyperlink>
      <w:r w:rsidR="003D4A60" w:rsidRPr="00AE2F3A">
        <w:rPr>
          <w:rFonts w:cstheme="minorHAnsi"/>
          <w:rtl/>
        </w:rPr>
        <w:t xml:space="preserve"> (טיפול במוגבלים שכלית התפתחותית) סעיף 17.</w:t>
      </w:r>
    </w:p>
    <w:p w14:paraId="7D7235A5" w14:textId="77777777" w:rsidR="003D4A60" w:rsidRPr="00AE2F3A" w:rsidRDefault="005F213F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3" w:history="1">
        <w:r w:rsidR="003D4A60" w:rsidRPr="00AE2F3A">
          <w:rPr>
            <w:rStyle w:val="Hyperlink"/>
            <w:rFonts w:cstheme="minorHAnsi"/>
            <w:rtl/>
          </w:rPr>
          <w:t>חוק הטיפול בחולי נפש</w:t>
        </w:r>
      </w:hyperlink>
      <w:r w:rsidR="003D4A60" w:rsidRPr="00AE2F3A">
        <w:rPr>
          <w:rFonts w:cstheme="minorHAnsi"/>
          <w:rtl/>
        </w:rPr>
        <w:t xml:space="preserve"> סעיף 42. </w:t>
      </w:r>
    </w:p>
    <w:p w14:paraId="2180FCB8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 xml:space="preserve">סיקור עבירות של אלימות מינית </w:t>
      </w:r>
    </w:p>
    <w:p w14:paraId="6C6BE965" w14:textId="77777777" w:rsidR="003D4A60" w:rsidRPr="00AE2F3A" w:rsidRDefault="005F213F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hyperlink r:id="rId74" w:history="1">
        <w:r w:rsidR="003D4A60" w:rsidRPr="00AE2F3A">
          <w:rPr>
            <w:rStyle w:val="Hyperlink"/>
            <w:rFonts w:cstheme="minorHAnsi"/>
            <w:rtl/>
          </w:rPr>
          <w:t>חוק העונשין</w:t>
        </w:r>
      </w:hyperlink>
      <w:r w:rsidR="003D4A60" w:rsidRPr="00AE2F3A">
        <w:rPr>
          <w:rFonts w:cstheme="minorHAnsi"/>
          <w:rtl/>
        </w:rPr>
        <w:t xml:space="preserve"> סעיף 352, </w:t>
      </w:r>
      <w:hyperlink r:id="rId75" w:history="1">
        <w:r w:rsidR="003D4A60" w:rsidRPr="00AE2F3A">
          <w:rPr>
            <w:rStyle w:val="Hyperlink"/>
            <w:rFonts w:cstheme="minorHAnsi"/>
            <w:rtl/>
          </w:rPr>
          <w:t>חוק בתי המשפט</w:t>
        </w:r>
      </w:hyperlink>
      <w:r w:rsidR="003D4A60" w:rsidRPr="00AE2F3A">
        <w:rPr>
          <w:rFonts w:cstheme="minorHAnsi"/>
          <w:rtl/>
        </w:rPr>
        <w:t xml:space="preserve"> סעיפים 70-68] </w:t>
      </w:r>
    </w:p>
    <w:p w14:paraId="02E5BDA2" w14:textId="77777777" w:rsidR="003D4A60" w:rsidRPr="00AE2F3A" w:rsidRDefault="003D4A60" w:rsidP="003D4A60">
      <w:p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>
        <w:rPr>
          <w:rFonts w:cstheme="minorHAnsi"/>
          <w:rtl/>
        </w:rPr>
        <w:tab/>
      </w:r>
      <w:r w:rsidRPr="00AE2F3A">
        <w:rPr>
          <w:rFonts w:cstheme="minorHAnsi"/>
          <w:rtl/>
        </w:rPr>
        <w:t>סיקור משפטים</w:t>
      </w:r>
    </w:p>
    <w:p w14:paraId="42A89FBB" w14:textId="77777777" w:rsidR="003D4A60" w:rsidRPr="00AE2F3A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סיקור הליכי משפט [</w:t>
      </w:r>
      <w:hyperlink r:id="rId76" w:history="1">
        <w:r w:rsidRPr="00AE2F3A">
          <w:rPr>
            <w:rStyle w:val="Hyperlink"/>
            <w:rFonts w:cstheme="minorHAnsi"/>
            <w:rtl/>
          </w:rPr>
          <w:t>חוק בתי המשפט</w:t>
        </w:r>
      </w:hyperlink>
      <w:r w:rsidRPr="00AE2F3A">
        <w:rPr>
          <w:rFonts w:cstheme="minorHAnsi"/>
          <w:rtl/>
        </w:rPr>
        <w:t xml:space="preserve"> סעיפים 70-68]</w:t>
      </w:r>
    </w:p>
    <w:p w14:paraId="5A04A565" w14:textId="77777777" w:rsidR="003D4A60" w:rsidRPr="00AE2F3A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איסור זילות בתי משפט [</w:t>
      </w:r>
      <w:hyperlink r:id="rId77" w:anchor="Seif224" w:history="1">
        <w:r w:rsidRPr="00AE2F3A">
          <w:rPr>
            <w:rStyle w:val="Hyperlink"/>
            <w:rFonts w:cstheme="minorHAnsi"/>
            <w:rtl/>
          </w:rPr>
          <w:t>חוק העונשין</w:t>
        </w:r>
      </w:hyperlink>
      <w:r w:rsidRPr="00AE2F3A">
        <w:rPr>
          <w:rFonts w:cstheme="minorHAnsi"/>
          <w:rtl/>
        </w:rPr>
        <w:t>, סעיף 255],</w:t>
      </w:r>
    </w:p>
    <w:p w14:paraId="7F4A0A13" w14:textId="77777777" w:rsidR="003D4A60" w:rsidRDefault="003D4A60" w:rsidP="003D4A60">
      <w:pPr>
        <w:pStyle w:val="a5"/>
        <w:numPr>
          <w:ilvl w:val="0"/>
          <w:numId w:val="22"/>
        </w:numPr>
        <w:tabs>
          <w:tab w:val="left" w:pos="284"/>
        </w:tabs>
        <w:bidi/>
        <w:spacing w:after="0" w:line="240" w:lineRule="auto"/>
        <w:jc w:val="both"/>
        <w:rPr>
          <w:rFonts w:cstheme="minorHAnsi"/>
        </w:rPr>
      </w:pPr>
      <w:r w:rsidRPr="00AE2F3A">
        <w:rPr>
          <w:rFonts w:cstheme="minorHAnsi"/>
          <w:rtl/>
        </w:rPr>
        <w:t>סוביודיציה [</w:t>
      </w:r>
      <w:hyperlink r:id="rId78" w:history="1">
        <w:r w:rsidRPr="00AE2F3A">
          <w:rPr>
            <w:rStyle w:val="Hyperlink"/>
            <w:rFonts w:cstheme="minorHAnsi"/>
            <w:rtl/>
          </w:rPr>
          <w:t>חוק בתי המשפט</w:t>
        </w:r>
      </w:hyperlink>
      <w:r w:rsidRPr="00AE2F3A">
        <w:rPr>
          <w:rFonts w:cstheme="minorHAnsi"/>
          <w:rtl/>
        </w:rPr>
        <w:t xml:space="preserve"> סעיף 71]; </w:t>
      </w:r>
    </w:p>
    <w:p w14:paraId="56717ACE" w14:textId="77777777" w:rsidR="003D4A60" w:rsidRPr="0047129B" w:rsidRDefault="003D4A60" w:rsidP="003D4A60">
      <w:pPr>
        <w:bidi/>
        <w:spacing w:after="0" w:line="240" w:lineRule="auto"/>
        <w:ind w:right="-284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10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: תקנוני אתיקה מול לשון החוק: תקנון מועצת העיתונות, תאגיד השידור הציבורי וגלי צה"ל</w:t>
      </w:r>
    </w:p>
    <w:p w14:paraId="5A810D12" w14:textId="77777777" w:rsidR="003D4A60" w:rsidRPr="00AE2F3A" w:rsidRDefault="005F213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</w:rPr>
      </w:pPr>
      <w:hyperlink r:id="rId79" w:history="1">
        <w:r w:rsidR="003D4A60" w:rsidRPr="00AE2F3A">
          <w:rPr>
            <w:rStyle w:val="Hyperlink"/>
            <w:rFonts w:cstheme="minorHAnsi"/>
            <w:rtl/>
          </w:rPr>
          <w:t>קוד האתיקה</w:t>
        </w:r>
      </w:hyperlink>
      <w:r w:rsidR="003D4A60" w:rsidRPr="00AE2F3A">
        <w:rPr>
          <w:rFonts w:cstheme="minorHAnsi"/>
          <w:rtl/>
        </w:rPr>
        <w:t xml:space="preserve"> של "כאן" תאגיד השידור הישראלי</w:t>
      </w:r>
    </w:p>
    <w:p w14:paraId="23DF5C62" w14:textId="77777777" w:rsidR="003D4A60" w:rsidRPr="00AE2F3A" w:rsidRDefault="005F213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</w:rPr>
      </w:pPr>
      <w:hyperlink r:id="rId80" w:history="1">
        <w:r w:rsidR="003D4A60" w:rsidRPr="00AE2F3A">
          <w:rPr>
            <w:rStyle w:val="Hyperlink"/>
            <w:rFonts w:cstheme="minorHAnsi"/>
            <w:rtl/>
          </w:rPr>
          <w:t>תקנון האתיקה המקצועית</w:t>
        </w:r>
      </w:hyperlink>
      <w:r w:rsidR="003D4A60" w:rsidRPr="00AE2F3A">
        <w:rPr>
          <w:rFonts w:cstheme="minorHAnsi"/>
          <w:rtl/>
        </w:rPr>
        <w:t xml:space="preserve"> של מועצת העיתונות בישראל</w:t>
      </w:r>
    </w:p>
    <w:p w14:paraId="4AE7E435" w14:textId="77777777" w:rsidR="003D4A60" w:rsidRPr="00AE2F3A" w:rsidRDefault="005F213F" w:rsidP="003D4A60">
      <w:pPr>
        <w:pStyle w:val="a5"/>
        <w:numPr>
          <w:ilvl w:val="0"/>
          <w:numId w:val="10"/>
        </w:numPr>
        <w:bidi/>
        <w:spacing w:after="0" w:line="240" w:lineRule="auto"/>
        <w:jc w:val="both"/>
        <w:rPr>
          <w:rFonts w:cstheme="minorHAnsi"/>
          <w:rtl/>
        </w:rPr>
      </w:pPr>
      <w:hyperlink r:id="rId81" w:history="1">
        <w:r w:rsidR="003D4A60" w:rsidRPr="00AE2F3A">
          <w:rPr>
            <w:rStyle w:val="Hyperlink"/>
            <w:rFonts w:cstheme="minorHAnsi"/>
            <w:rtl/>
          </w:rPr>
          <w:t>מסמך נקדי</w:t>
        </w:r>
      </w:hyperlink>
      <w:r w:rsidR="003D4A60" w:rsidRPr="00AE2F3A">
        <w:rPr>
          <w:rFonts w:cstheme="minorHAnsi"/>
          <w:rtl/>
        </w:rPr>
        <w:t xml:space="preserve">  – תקנון האתיקה של רשות השידור</w:t>
      </w:r>
    </w:p>
    <w:p w14:paraId="3D2A9F78" w14:textId="77777777" w:rsidR="003D4A60" w:rsidRDefault="003D4A60" w:rsidP="003D4A60">
      <w:pPr>
        <w:pStyle w:val="a5"/>
        <w:numPr>
          <w:ilvl w:val="0"/>
          <w:numId w:val="10"/>
        </w:numPr>
        <w:bidi/>
        <w:spacing w:after="0" w:line="240" w:lineRule="auto"/>
        <w:ind w:left="270"/>
        <w:jc w:val="both"/>
        <w:rPr>
          <w:rFonts w:eastAsia="Calibri" w:cstheme="minorHAnsi"/>
        </w:rPr>
      </w:pPr>
      <w:r w:rsidRPr="00D20C6C">
        <w:rPr>
          <w:rFonts w:eastAsia="Times New Roman" w:cstheme="minorHAnsi"/>
          <w:color w:val="222222"/>
          <w:rtl/>
        </w:rPr>
        <w:t xml:space="preserve">נקדימון רוגל, </w:t>
      </w:r>
      <w:hyperlink r:id="rId82" w:history="1">
        <w:r w:rsidRPr="00D20C6C">
          <w:rPr>
            <w:rStyle w:val="Hyperlink"/>
            <w:rFonts w:cstheme="minorHAnsi"/>
            <w:rtl/>
          </w:rPr>
          <w:t>דברי המבוא</w:t>
        </w:r>
      </w:hyperlink>
      <w:r w:rsidRPr="00D20C6C">
        <w:rPr>
          <w:rFonts w:cstheme="minorHAnsi"/>
          <w:rtl/>
        </w:rPr>
        <w:t xml:space="preserve"> ל'תדריך נקדי' – תדריך החדשות והאקטואליה לרשות השידור, 1995 </w:t>
      </w:r>
    </w:p>
    <w:p w14:paraId="27348CBF" w14:textId="77777777" w:rsidR="003D4A60" w:rsidRPr="00D20C6C" w:rsidRDefault="003D4A60" w:rsidP="003D4A60">
      <w:pPr>
        <w:bidi/>
        <w:spacing w:after="0" w:line="240" w:lineRule="auto"/>
        <w:ind w:left="-90"/>
        <w:jc w:val="both"/>
        <w:rPr>
          <w:rFonts w:eastAsia="Calibri" w:cstheme="minorHAnsi"/>
        </w:rPr>
      </w:pPr>
      <w:r w:rsidRPr="00D20C6C">
        <w:rPr>
          <w:rFonts w:eastAsia="Calibri" w:cstheme="minorHAnsi"/>
          <w:rtl/>
        </w:rPr>
        <w:t xml:space="preserve">ניגוד עניינים וטובות הנאה </w:t>
      </w:r>
    </w:p>
    <w:p w14:paraId="2608402C" w14:textId="77777777" w:rsidR="003D4A60" w:rsidRPr="00AE2F3A" w:rsidRDefault="005F213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3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חוק העונשין</w:t>
        </w:r>
      </w:hyperlink>
      <w:r w:rsidR="003D4A60" w:rsidRPr="00AE2F3A">
        <w:rPr>
          <w:rFonts w:eastAsia="Calibri" w:cstheme="minorHAnsi"/>
          <w:rtl/>
        </w:rPr>
        <w:t>, סעיף 248  - מרמה והפרת אמונים.</w:t>
      </w:r>
    </w:p>
    <w:p w14:paraId="2592A816" w14:textId="77777777" w:rsidR="003D4A60" w:rsidRPr="00AE2F3A" w:rsidRDefault="005F213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4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כללי האתיקה לעובדי מדינה</w:t>
        </w:r>
      </w:hyperlink>
      <w:r w:rsidR="003D4A60" w:rsidRPr="00AE2F3A">
        <w:rPr>
          <w:rFonts w:eastAsia="Calibri" w:cstheme="minorHAnsi"/>
          <w:rtl/>
        </w:rPr>
        <w:t>.</w:t>
      </w:r>
    </w:p>
    <w:p w14:paraId="06470E24" w14:textId="77777777" w:rsidR="003D4A60" w:rsidRPr="00AE2F3A" w:rsidRDefault="005F213F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hyperlink r:id="rId85" w:history="1">
        <w:r w:rsidR="003D4A60" w:rsidRPr="00AE2F3A">
          <w:rPr>
            <w:rFonts w:eastAsia="Calibri" w:cstheme="minorHAnsi"/>
            <w:color w:val="0000FF"/>
            <w:u w:val="single"/>
            <w:rtl/>
          </w:rPr>
          <w:t>כללי ניגודי עניינים בתקשי"ר</w:t>
        </w:r>
      </w:hyperlink>
      <w:r w:rsidR="003D4A60" w:rsidRPr="00AE2F3A">
        <w:rPr>
          <w:rFonts w:eastAsia="Calibri" w:cstheme="minorHAnsi"/>
          <w:rtl/>
        </w:rPr>
        <w:t xml:space="preserve">. </w:t>
      </w:r>
    </w:p>
    <w:p w14:paraId="6EF62CC1" w14:textId="77777777" w:rsidR="003D4A60" w:rsidRPr="00AE2F3A" w:rsidRDefault="003D4A60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r w:rsidRPr="00AE2F3A">
        <w:rPr>
          <w:rFonts w:eastAsia="Calibri" w:cstheme="minorHAnsi"/>
          <w:rtl/>
        </w:rPr>
        <w:t xml:space="preserve">הנחיות היועץ המשפטי לממשלה (עדכון התשע"ו) </w:t>
      </w:r>
      <w:hyperlink r:id="rId86" w:history="1">
        <w:r w:rsidRPr="00AE2F3A">
          <w:rPr>
            <w:rFonts w:eastAsia="Calibri" w:cstheme="minorHAnsi"/>
            <w:color w:val="0000FF"/>
            <w:u w:val="single"/>
            <w:rtl/>
          </w:rPr>
          <w:t>מתן חסות על-ידי עובדי ציבור</w:t>
        </w:r>
      </w:hyperlink>
      <w:r w:rsidRPr="00AE2F3A">
        <w:rPr>
          <w:rFonts w:eastAsia="Calibri" w:cstheme="minorHAnsi"/>
          <w:rtl/>
        </w:rPr>
        <w:t xml:space="preserve"> .</w:t>
      </w:r>
    </w:p>
    <w:p w14:paraId="751FD25C" w14:textId="77777777" w:rsidR="003D4A60" w:rsidRPr="00AE2F3A" w:rsidRDefault="003D4A60" w:rsidP="003D4A60">
      <w:pPr>
        <w:numPr>
          <w:ilvl w:val="0"/>
          <w:numId w:val="15"/>
        </w:numPr>
        <w:bidi/>
        <w:spacing w:after="0" w:line="240" w:lineRule="auto"/>
        <w:contextualSpacing/>
        <w:jc w:val="both"/>
        <w:rPr>
          <w:rFonts w:eastAsia="Calibri" w:cstheme="minorHAnsi"/>
          <w:rtl/>
        </w:rPr>
      </w:pPr>
      <w:r w:rsidRPr="00AE2F3A">
        <w:rPr>
          <w:rFonts w:eastAsia="Calibri" w:cstheme="minorHAnsi"/>
          <w:rtl/>
        </w:rPr>
        <w:t xml:space="preserve">דנ"פ 1397/03 </w:t>
      </w:r>
      <w:hyperlink r:id="rId87" w:history="1">
        <w:r w:rsidRPr="00AE2F3A">
          <w:rPr>
            <w:rFonts w:eastAsia="Calibri" w:cstheme="minorHAnsi"/>
            <w:color w:val="0000FF"/>
            <w:u w:val="single"/>
            <w:rtl/>
          </w:rPr>
          <w:t>מדינת ישראל נ. שמעון שבס</w:t>
        </w:r>
      </w:hyperlink>
      <w:r w:rsidRPr="00AE2F3A">
        <w:rPr>
          <w:rFonts w:eastAsia="Calibri" w:cstheme="minorHAnsi"/>
          <w:rtl/>
        </w:rPr>
        <w:t xml:space="preserve"> מאתר בתי המשפט. </w:t>
      </w:r>
    </w:p>
    <w:p w14:paraId="60D60323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 xml:space="preserve">שיעור 11: </w:t>
      </w:r>
      <w:r w:rsidRPr="0047129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לחצים מסחריים ותביעות השתקה (</w:t>
      </w:r>
      <w:r w:rsidRPr="0047129B">
        <w:rPr>
          <w:rFonts w:cstheme="minorHAnsi"/>
          <w:b/>
          <w:bCs/>
          <w:sz w:val="24"/>
          <w:szCs w:val="24"/>
          <w:u w:val="single"/>
        </w:rPr>
        <w:t>Strategic Lawsuit Against Public Participation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)</w:t>
      </w:r>
    </w:p>
    <w:p w14:paraId="0D434F54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 xml:space="preserve">מקוויל, ד. (2014). </w:t>
      </w:r>
      <w:r w:rsidRPr="00AE2F3A">
        <w:rPr>
          <w:rFonts w:cstheme="minorHAnsi"/>
          <w:b/>
          <w:bCs/>
          <w:rtl/>
          <w:lang w:val="en-GB"/>
        </w:rPr>
        <w:t>מבוא לתקשורת המונים</w:t>
      </w:r>
      <w:r w:rsidRPr="00AE2F3A">
        <w:rPr>
          <w:rFonts w:cstheme="minorHAnsi"/>
          <w:rtl/>
          <w:lang w:val="en-GB"/>
        </w:rPr>
        <w:t>. רעננה: האוניברסיטה הפתוחה. הפרק: ארגון התקשורת: לחצים ותביעות (עמ' 354-319).</w:t>
      </w:r>
    </w:p>
    <w:p w14:paraId="6A46F56C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ind w:right="-709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שדמי – שפיצר, ליאור (2016). </w:t>
      </w:r>
      <w:hyperlink r:id="rId88" w:history="1">
        <w:r w:rsidRPr="00AE2F3A">
          <w:rPr>
            <w:rStyle w:val="Hyperlink"/>
            <w:rFonts w:cstheme="minorHAnsi"/>
            <w:rtl/>
          </w:rPr>
          <w:t>נדחתה בקשת התנועה לאיכות השלטון להצטרף לתביעת השתקה כידיד ביהמ"ש</w:t>
        </w:r>
      </w:hyperlink>
      <w:r w:rsidRPr="00AE2F3A">
        <w:rPr>
          <w:rFonts w:cstheme="minorHAnsi"/>
          <w:rtl/>
        </w:rPr>
        <w:t xml:space="preserve">. </w:t>
      </w:r>
    </w:p>
    <w:p w14:paraId="3F421B02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חוק זכויות יוצרים התשס"ח-2007</w:t>
      </w:r>
      <w:r w:rsidRPr="00AE2F3A">
        <w:rPr>
          <w:rFonts w:cstheme="minorHAnsi"/>
        </w:rPr>
        <w:t>.</w:t>
      </w:r>
    </w:p>
    <w:p w14:paraId="6612EF58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תקנון האתיקה של מועצת העיתונות 1996, סעיפים 15, 16, 19, 23, 24</w:t>
      </w:r>
      <w:r w:rsidRPr="00AE2F3A">
        <w:rPr>
          <w:rFonts w:cstheme="minorHAnsi"/>
        </w:rPr>
        <w:t xml:space="preserve">. </w:t>
      </w:r>
    </w:p>
    <w:p w14:paraId="7F74F814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דב"ע נג/3 – 223 פלסטין פוסט נ' יחיאל פד"ע כז 436</w:t>
      </w:r>
      <w:r w:rsidRPr="00AE2F3A">
        <w:rPr>
          <w:rFonts w:cstheme="minorHAnsi"/>
        </w:rPr>
        <w:t xml:space="preserve">. </w:t>
      </w:r>
    </w:p>
    <w:p w14:paraId="455E13CC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בג"צ 6218/93 כהן נ' לשכת עורכי הדין פ"ד מט(2) 529</w:t>
      </w:r>
      <w:r w:rsidRPr="00AE2F3A">
        <w:rPr>
          <w:rFonts w:cstheme="minorHAnsi"/>
        </w:rPr>
        <w:t xml:space="preserve">. </w:t>
      </w:r>
    </w:p>
    <w:p w14:paraId="452A4EC1" w14:textId="77777777" w:rsidR="003D4A60" w:rsidRPr="00AE2F3A" w:rsidRDefault="003D4A60" w:rsidP="003D4A60">
      <w:pPr>
        <w:pStyle w:val="a5"/>
        <w:numPr>
          <w:ilvl w:val="0"/>
          <w:numId w:val="24"/>
        </w:numPr>
        <w:bidi/>
        <w:spacing w:after="0" w:line="240" w:lineRule="auto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>ע"א (מח – ים) 3060/02 שטרן נ' פלסטין פוסט (ניתן ביום 18.11.03)</w:t>
      </w:r>
      <w:r w:rsidRPr="00AE2F3A">
        <w:rPr>
          <w:rFonts w:cstheme="minorHAnsi"/>
        </w:rPr>
        <w:t xml:space="preserve">.  </w:t>
      </w:r>
    </w:p>
    <w:p w14:paraId="031C0D32" w14:textId="77777777" w:rsidR="003D4A60" w:rsidRPr="0047129B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  <w:lang w:val="en-GB"/>
        </w:rPr>
      </w:pPr>
      <w:r w:rsidRPr="0047129B">
        <w:rPr>
          <w:rFonts w:cstheme="minorHAnsi"/>
          <w:b/>
          <w:bCs/>
          <w:sz w:val="24"/>
          <w:szCs w:val="24"/>
          <w:u w:val="single"/>
          <w:rtl/>
        </w:rPr>
        <w:t>שיעור 12: התקשורת המסחרית בישראל: אתיקה מול חוק בבידור ו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ב</w:t>
      </w:r>
      <w:r w:rsidRPr="0047129B">
        <w:rPr>
          <w:rFonts w:cstheme="minorHAnsi"/>
          <w:b/>
          <w:bCs/>
          <w:sz w:val="24"/>
          <w:szCs w:val="24"/>
          <w:u w:val="single"/>
          <w:rtl/>
        </w:rPr>
        <w:t>ריאליטי</w:t>
      </w:r>
      <w:r w:rsidRPr="0047129B">
        <w:rPr>
          <w:rFonts w:cstheme="minorHAnsi" w:hint="cs"/>
          <w:b/>
          <w:bCs/>
          <w:sz w:val="24"/>
          <w:szCs w:val="24"/>
          <w:u w:val="single"/>
          <w:rtl/>
        </w:rPr>
        <w:t xml:space="preserve">, </w:t>
      </w:r>
      <w:r w:rsidRPr="0047129B">
        <w:rPr>
          <w:rFonts w:cstheme="minorHAnsi"/>
          <w:b/>
          <w:bCs/>
          <w:sz w:val="24"/>
          <w:szCs w:val="24"/>
          <w:u w:val="single"/>
          <w:rtl/>
          <w:lang w:val="en-GB"/>
        </w:rPr>
        <w:t>פרסומות ופרסום סמוי</w:t>
      </w:r>
    </w:p>
    <w:p w14:paraId="6632EACA" w14:textId="77777777" w:rsidR="003D4A60" w:rsidRPr="00AE2F3A" w:rsidRDefault="005F213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89" w:history="1">
        <w:r w:rsidR="003D4A60" w:rsidRPr="00AE2F3A">
          <w:rPr>
            <w:rStyle w:val="Hyperlink"/>
            <w:rFonts w:cstheme="minorHAnsi"/>
            <w:rtl/>
          </w:rPr>
          <w:t>חוק תאגיד השידור הישראלי</w:t>
        </w:r>
      </w:hyperlink>
      <w:r w:rsidR="003D4A60" w:rsidRPr="00AE2F3A">
        <w:rPr>
          <w:rFonts w:cstheme="minorHAnsi"/>
          <w:rtl/>
        </w:rPr>
        <w:t xml:space="preserve"> סעיפים 75-68. </w:t>
      </w:r>
    </w:p>
    <w:p w14:paraId="4A6626FE" w14:textId="77777777" w:rsidR="003D4A60" w:rsidRPr="00AE2F3A" w:rsidRDefault="005F213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90" w:history="1">
        <w:r w:rsidR="003D4A60" w:rsidRPr="00AE2F3A">
          <w:rPr>
            <w:rStyle w:val="Hyperlink"/>
            <w:rFonts w:cstheme="minorHAnsi"/>
            <w:rtl/>
          </w:rPr>
          <w:t>מדריך האתיקה בפרסומות</w:t>
        </w:r>
      </w:hyperlink>
      <w:r w:rsidR="003D4A60" w:rsidRPr="00AE2F3A">
        <w:rPr>
          <w:rFonts w:cstheme="minorHAnsi"/>
          <w:rtl/>
        </w:rPr>
        <w:t xml:space="preserve"> של הרשות השנייה</w:t>
      </w:r>
    </w:p>
    <w:p w14:paraId="4BF2C66C" w14:textId="77777777" w:rsidR="003D4A60" w:rsidRPr="00AE2F3A" w:rsidRDefault="005F213F" w:rsidP="003D4A60">
      <w:pPr>
        <w:pStyle w:val="a5"/>
        <w:numPr>
          <w:ilvl w:val="0"/>
          <w:numId w:val="5"/>
        </w:numPr>
        <w:bidi/>
        <w:spacing w:after="0" w:line="240" w:lineRule="auto"/>
        <w:rPr>
          <w:rFonts w:cstheme="minorHAnsi"/>
        </w:rPr>
      </w:pPr>
      <w:hyperlink r:id="rId91" w:history="1">
        <w:r w:rsidR="003D4A60" w:rsidRPr="00AE2F3A">
          <w:rPr>
            <w:rStyle w:val="Hyperlink"/>
            <w:rFonts w:cstheme="minorHAnsi"/>
            <w:rtl/>
          </w:rPr>
          <w:t>תוכן שיווקי: שיתופי פעולה מסחריים בשידורי טלוויזיה</w:t>
        </w:r>
      </w:hyperlink>
      <w:r w:rsidR="003D4A60" w:rsidRPr="00AE2F3A">
        <w:rPr>
          <w:rFonts w:cstheme="minorHAnsi"/>
          <w:rtl/>
        </w:rPr>
        <w:t xml:space="preserve"> (ועדת כשר לרשות השנייה)</w:t>
      </w:r>
    </w:p>
    <w:p w14:paraId="05B0F8DB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  <w:lang w:val="en-GB"/>
        </w:rPr>
        <w:t xml:space="preserve">אתיקה בריאליטי </w:t>
      </w:r>
      <w:r w:rsidRPr="00AE2F3A">
        <w:rPr>
          <w:rFonts w:cstheme="minorHAnsi"/>
          <w:rtl/>
        </w:rPr>
        <w:t xml:space="preserve">רכס, א. ואחרים (2012). </w:t>
      </w:r>
      <w:hyperlink r:id="rId92" w:history="1">
        <w:r w:rsidRPr="00AE2F3A">
          <w:rPr>
            <w:rStyle w:val="Hyperlink"/>
            <w:rFonts w:cstheme="minorHAnsi"/>
            <w:rtl/>
          </w:rPr>
          <w:t>דו"ח הועדה לקביעת עקרונות אתיים לקיום תוכניות מציאות</w:t>
        </w:r>
      </w:hyperlink>
      <w:r w:rsidRPr="00AE2F3A">
        <w:rPr>
          <w:rFonts w:cstheme="minorHAnsi"/>
          <w:rtl/>
        </w:rPr>
        <w:t xml:space="preserve">. ההסתדרות הרפואית בישראל, הלשכה לאתיקה. </w:t>
      </w:r>
    </w:p>
    <w:p w14:paraId="71479EFB" w14:textId="77777777" w:rsidR="003D4A60" w:rsidRPr="00AE2F3A" w:rsidRDefault="003D4A60" w:rsidP="003D4A60">
      <w:pPr>
        <w:pStyle w:val="a5"/>
        <w:numPr>
          <w:ilvl w:val="0"/>
          <w:numId w:val="5"/>
        </w:numPr>
        <w:tabs>
          <w:tab w:val="left" w:pos="284"/>
        </w:tabs>
        <w:bidi/>
        <w:spacing w:after="0" w:line="240" w:lineRule="auto"/>
        <w:rPr>
          <w:rFonts w:cstheme="minorHAnsi"/>
        </w:rPr>
      </w:pPr>
      <w:r w:rsidRPr="00AE2F3A">
        <w:rPr>
          <w:rFonts w:cstheme="minorHAnsi"/>
          <w:rtl/>
        </w:rPr>
        <w:t xml:space="preserve">לביא-דינור, ע. וקרניאל, י. (2012). פרטיות תמורת תהילה: אובדן הפרטיות בתוכניות הטלוויזיה בישראל בשנים 2010-2005 (132-107). בתוך שוורץ אלטשולר, ת. (עורכת). </w:t>
      </w:r>
      <w:hyperlink r:id="rId93" w:history="1">
        <w:r w:rsidRPr="00AE2F3A">
          <w:rPr>
            <w:rStyle w:val="Hyperlink"/>
            <w:rFonts w:cstheme="minorHAnsi"/>
            <w:rtl/>
          </w:rPr>
          <w:t>פרטיות בעידן של שינוי</w:t>
        </w:r>
      </w:hyperlink>
      <w:r w:rsidRPr="00AE2F3A">
        <w:rPr>
          <w:rFonts w:cstheme="minorHAnsi"/>
          <w:rtl/>
        </w:rPr>
        <w:t xml:space="preserve"> (עמ' 132-107). ירושלים: המכון הישראלי לדמוקרטיה.</w:t>
      </w:r>
      <w:r w:rsidRPr="00AE2F3A">
        <w:rPr>
          <w:rFonts w:cstheme="minorHAnsi"/>
          <w:lang w:val="en-GB"/>
        </w:rPr>
        <w:t xml:space="preserve"> </w:t>
      </w:r>
    </w:p>
    <w:p w14:paraId="63AAF094" w14:textId="77777777" w:rsidR="003D4A60" w:rsidRPr="00FF4673" w:rsidRDefault="003D4A60" w:rsidP="003D4A60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סיכום - </w:t>
      </w:r>
      <w:r w:rsidRPr="00FF4673">
        <w:rPr>
          <w:rFonts w:cstheme="minorHAnsi"/>
          <w:b/>
          <w:bCs/>
          <w:sz w:val="24"/>
          <w:szCs w:val="24"/>
          <w:u w:val="single"/>
          <w:rtl/>
        </w:rPr>
        <w:t xml:space="preserve">חופש העיתונות בעידן הרשתות </w:t>
      </w:r>
    </w:p>
    <w:p w14:paraId="2FDC3F19" w14:textId="77777777" w:rsidR="003D4A60" w:rsidRPr="00AE2F3A" w:rsidRDefault="003D4A60" w:rsidP="003D4A60">
      <w:p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AE2F3A">
        <w:rPr>
          <w:rFonts w:cstheme="minorHAnsi"/>
          <w:rtl/>
          <w:lang w:val="en-GB"/>
        </w:rPr>
        <w:t>לשון הרע והרשת:</w:t>
      </w:r>
    </w:p>
    <w:p w14:paraId="2F6D7A0D" w14:textId="77777777" w:rsidR="003D4A60" w:rsidRPr="00AE2F3A" w:rsidRDefault="003D4A60" w:rsidP="003D4A60">
      <w:pPr>
        <w:pStyle w:val="a5"/>
        <w:numPr>
          <w:ilvl w:val="0"/>
          <w:numId w:val="11"/>
        </w:numPr>
        <w:tabs>
          <w:tab w:val="left" w:pos="284"/>
        </w:tabs>
        <w:bidi/>
        <w:spacing w:after="0" w:line="240" w:lineRule="auto"/>
        <w:ind w:left="702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רע"א 4447/07 רמי מור נ. ברק איטיסי [1995] החברה לשירותי בזק בינלאומיים בע"מ. </w:t>
      </w:r>
      <w:hyperlink r:id="rId94" w:history="1">
        <w:r w:rsidRPr="00AE2F3A">
          <w:rPr>
            <w:rStyle w:val="Hyperlink"/>
            <w:rFonts w:cstheme="minorHAnsi"/>
            <w:rtl/>
          </w:rPr>
          <w:t>עיקרי הפסיקה</w:t>
        </w:r>
      </w:hyperlink>
      <w:r w:rsidRPr="00AE2F3A">
        <w:rPr>
          <w:rStyle w:val="Hyperlink"/>
          <w:rFonts w:cstheme="minorHAnsi"/>
          <w:rtl/>
        </w:rPr>
        <w:t xml:space="preserve"> מאתר העין השביעית.</w:t>
      </w:r>
    </w:p>
    <w:p w14:paraId="15F001A4" w14:textId="77777777" w:rsidR="003D4A60" w:rsidRPr="00AE2F3A" w:rsidRDefault="003D4A60" w:rsidP="003D4A60">
      <w:pPr>
        <w:pStyle w:val="a5"/>
        <w:numPr>
          <w:ilvl w:val="0"/>
          <w:numId w:val="11"/>
        </w:numPr>
        <w:tabs>
          <w:tab w:val="left" w:pos="284"/>
        </w:tabs>
        <w:bidi/>
        <w:spacing w:after="0" w:line="240" w:lineRule="auto"/>
        <w:ind w:left="702"/>
        <w:jc w:val="both"/>
        <w:rPr>
          <w:rFonts w:cstheme="minorHAnsi"/>
          <w:rtl/>
        </w:rPr>
      </w:pPr>
      <w:r w:rsidRPr="00AE2F3A">
        <w:rPr>
          <w:rFonts w:cstheme="minorHAnsi"/>
          <w:rtl/>
        </w:rPr>
        <w:t xml:space="preserve">רע"א 1700/10 </w:t>
      </w:r>
      <w:hyperlink r:id="rId95" w:history="1">
        <w:r w:rsidRPr="00AE2F3A">
          <w:rPr>
            <w:rStyle w:val="Hyperlink"/>
            <w:rFonts w:cstheme="minorHAnsi"/>
            <w:rtl/>
          </w:rPr>
          <w:t>אבי רועי דוביצקי נ. ליאב שפירא</w:t>
        </w:r>
      </w:hyperlink>
      <w:r w:rsidRPr="00AE2F3A">
        <w:rPr>
          <w:rFonts w:cstheme="minorHAnsi"/>
          <w:rtl/>
        </w:rPr>
        <w:t xml:space="preserve"> פסק הדין מאתר בתי המשפט. </w:t>
      </w:r>
    </w:p>
    <w:p w14:paraId="337BBDE8" w14:textId="77777777" w:rsidR="003D4A60" w:rsidRPr="003D4A60" w:rsidRDefault="003D4A60" w:rsidP="003D4A60">
      <w:pPr>
        <w:pStyle w:val="a5"/>
        <w:numPr>
          <w:ilvl w:val="0"/>
          <w:numId w:val="17"/>
        </w:numPr>
        <w:bidi/>
        <w:spacing w:after="0" w:line="240" w:lineRule="auto"/>
        <w:jc w:val="both"/>
        <w:rPr>
          <w:rFonts w:cstheme="minorHAnsi"/>
          <w:rtl/>
          <w:lang w:val="en-GB"/>
        </w:rPr>
      </w:pPr>
      <w:r w:rsidRPr="003D4A60">
        <w:rPr>
          <w:rFonts w:cstheme="minorHAnsi" w:hint="cs"/>
          <w:rtl/>
          <w:lang w:val="en-GB"/>
        </w:rPr>
        <w:t>הסיכום מתוך הספר:</w:t>
      </w:r>
    </w:p>
    <w:p w14:paraId="2D313224" w14:textId="77777777" w:rsidR="00A33C8F" w:rsidRDefault="003D4A60" w:rsidP="003D4A60">
      <w:pPr>
        <w:spacing w:after="0" w:line="240" w:lineRule="auto"/>
        <w:ind w:left="360"/>
        <w:jc w:val="both"/>
        <w:rPr>
          <w:rFonts w:cstheme="minorHAnsi"/>
          <w:rtl/>
          <w:lang w:val="en-GB"/>
        </w:rPr>
      </w:pPr>
      <w:r w:rsidRPr="003D4A60">
        <w:rPr>
          <w:sz w:val="24"/>
          <w:szCs w:val="24"/>
        </w:rPr>
        <w:t xml:space="preserve">Ananny, M. (2018). </w:t>
      </w:r>
      <w:r w:rsidRPr="003D4A60">
        <w:rPr>
          <w:b/>
          <w:bCs/>
          <w:sz w:val="24"/>
          <w:szCs w:val="24"/>
        </w:rPr>
        <w:t>Networked Press Freedom: Creating Infrastructures for a Public Right to Hear</w:t>
      </w:r>
      <w:r w:rsidRPr="003D4A60">
        <w:rPr>
          <w:sz w:val="24"/>
          <w:szCs w:val="24"/>
        </w:rPr>
        <w:t>. Cambridge, MA: MIT Press.</w:t>
      </w:r>
    </w:p>
    <w:sectPr w:rsidR="00A33C8F" w:rsidSect="009527C4">
      <w:headerReference w:type="default" r:id="rId96"/>
      <w:footerReference w:type="default" r:id="rId9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09EE" w14:textId="77777777" w:rsidR="00243524" w:rsidRDefault="00243524" w:rsidP="000C1003">
      <w:pPr>
        <w:spacing w:after="0" w:line="240" w:lineRule="auto"/>
      </w:pPr>
      <w:r>
        <w:separator/>
      </w:r>
    </w:p>
  </w:endnote>
  <w:endnote w:type="continuationSeparator" w:id="0">
    <w:p w14:paraId="6C58CEB9" w14:textId="77777777" w:rsidR="00243524" w:rsidRDefault="00243524" w:rsidP="000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04214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14:paraId="4E820CDA" w14:textId="4047F1FA" w:rsidR="00267655" w:rsidRDefault="002676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13F" w:rsidRPr="005F213F">
          <w:rPr>
            <w:rFonts w:cs="Calibri"/>
            <w:noProof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14:paraId="6E33F124" w14:textId="77777777" w:rsidR="00267655" w:rsidRDefault="002676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CE01" w14:textId="77777777" w:rsidR="00243524" w:rsidRDefault="00243524" w:rsidP="000C1003">
      <w:pPr>
        <w:spacing w:after="0" w:line="240" w:lineRule="auto"/>
      </w:pPr>
      <w:r>
        <w:separator/>
      </w:r>
    </w:p>
  </w:footnote>
  <w:footnote w:type="continuationSeparator" w:id="0">
    <w:p w14:paraId="4F907390" w14:textId="77777777" w:rsidR="00243524" w:rsidRDefault="00243524" w:rsidP="000C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7656" w:type="dxa"/>
      <w:tblInd w:w="-418" w:type="dxa"/>
      <w:tblBorders>
        <w:lef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3476"/>
      <w:gridCol w:w="4180"/>
    </w:tblGrid>
    <w:tr w:rsidR="00871869" w14:paraId="5E926FDC" w14:textId="77777777" w:rsidTr="003F3B7E">
      <w:trPr>
        <w:trHeight w:val="899"/>
      </w:trPr>
      <w:tc>
        <w:tcPr>
          <w:tcW w:w="3476" w:type="dxa"/>
          <w:tcBorders>
            <w:top w:val="nil"/>
            <w:left w:val="nil"/>
            <w:bottom w:val="nil"/>
            <w:right w:val="single" w:sz="4" w:space="0" w:color="4D555B"/>
          </w:tcBorders>
          <w:hideMark/>
        </w:tcPr>
        <w:p w14:paraId="4FD0115F" w14:textId="77777777" w:rsidR="00871869" w:rsidRDefault="00871869" w:rsidP="00871869">
          <w:pPr>
            <w:pStyle w:val="a6"/>
            <w:ind w:right="57"/>
            <w:rPr>
              <w:rFonts w:ascii="Arial" w:hAnsi="Arial"/>
              <w:i/>
              <w:iCs/>
              <w:color w:val="E07E27"/>
              <w:rtl/>
            </w:rPr>
          </w:pPr>
          <w:r>
            <w:rPr>
              <w:rFonts w:ascii="Arial" w:hAnsi="Arial"/>
              <w:i/>
              <w:iCs/>
              <w:color w:val="E07E27"/>
              <w:rtl/>
            </w:rPr>
            <w:t>הפקולטה למדעי החברה</w:t>
          </w:r>
        </w:p>
        <w:p w14:paraId="7C373EB4" w14:textId="77777777" w:rsidR="00871869" w:rsidRPr="003F6B26" w:rsidRDefault="00871869" w:rsidP="00871869">
          <w:pPr>
            <w:pStyle w:val="a6"/>
            <w:ind w:right="57"/>
            <w:rPr>
              <w:rFonts w:ascii="Arial" w:hAnsi="Arial"/>
              <w:color w:val="E07E27"/>
              <w:rtl/>
            </w:rPr>
          </w:pPr>
          <w:r w:rsidRPr="003F6B26">
            <w:rPr>
              <w:rFonts w:ascii="Arial" w:hAnsi="Arial" w:hint="cs"/>
              <w:color w:val="4D555B"/>
              <w:rtl/>
            </w:rPr>
            <w:t xml:space="preserve">בית הספר לתקשורת </w:t>
          </w:r>
          <w:r w:rsidRPr="003F6B26">
            <w:rPr>
              <w:rFonts w:ascii="Arial" w:hAnsi="Arial"/>
              <w:color w:val="4D555B"/>
              <w:rtl/>
            </w:rPr>
            <w:t xml:space="preserve"> </w:t>
          </w:r>
        </w:p>
      </w:tc>
      <w:tc>
        <w:tcPr>
          <w:tcW w:w="4180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  <w:hideMark/>
        </w:tcPr>
        <w:p w14:paraId="6E6D6D62" w14:textId="1CFF8A57" w:rsidR="00871869" w:rsidRDefault="00871869" w:rsidP="00871869">
          <w:pPr>
            <w:pStyle w:val="a6"/>
            <w:ind w:left="57"/>
            <w:rPr>
              <w:rFonts w:ascii="Arial" w:hAnsi="Arial"/>
              <w:i/>
              <w:iCs/>
              <w:color w:val="E07E27"/>
              <w:sz w:val="21"/>
              <w:szCs w:val="21"/>
              <w:rtl/>
            </w:rPr>
          </w:pPr>
          <w:r>
            <w:rPr>
              <w:rFonts w:ascii="Calibri" w:hAnsi="Calibri"/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60FFC908" wp14:editId="00677BA8">
                <wp:simplePos x="0" y="0"/>
                <wp:positionH relativeFrom="column">
                  <wp:posOffset>-1827530</wp:posOffset>
                </wp:positionH>
                <wp:positionV relativeFrom="paragraph">
                  <wp:posOffset>-288290</wp:posOffset>
                </wp:positionV>
                <wp:extent cx="1092835" cy="1332230"/>
                <wp:effectExtent l="0" t="0" r="0" b="1270"/>
                <wp:wrapNone/>
                <wp:docPr id="2" name="Picture 2" descr="לוגו בר-איל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18" descr="לוגו בר-אילן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1332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i/>
              <w:iCs/>
              <w:color w:val="E07E27"/>
              <w:sz w:val="21"/>
              <w:szCs w:val="21"/>
            </w:rPr>
            <w:t>Faculty of Social Sciences</w:t>
          </w:r>
        </w:p>
        <w:p w14:paraId="770A3B50" w14:textId="77777777" w:rsidR="00871869" w:rsidRDefault="00871869" w:rsidP="00871869">
          <w:pPr>
            <w:pStyle w:val="a6"/>
            <w:spacing w:before="10"/>
            <w:ind w:left="57"/>
            <w:rPr>
              <w:rFonts w:ascii="Arial" w:hAnsi="Arial"/>
              <w:color w:val="4D555B"/>
              <w:sz w:val="21"/>
              <w:szCs w:val="21"/>
            </w:rPr>
          </w:pPr>
          <w:r>
            <w:rPr>
              <w:rFonts w:ascii="Arial" w:hAnsi="Arial"/>
              <w:color w:val="4D555B"/>
              <w:sz w:val="21"/>
              <w:szCs w:val="21"/>
            </w:rPr>
            <w:t xml:space="preserve">School of communication </w:t>
          </w:r>
        </w:p>
      </w:tc>
    </w:tr>
  </w:tbl>
  <w:p w14:paraId="32DA383E" w14:textId="77777777" w:rsidR="00871869" w:rsidRPr="003F6B26" w:rsidRDefault="00871869" w:rsidP="00871869">
    <w:pPr>
      <w:pStyle w:val="a6"/>
      <w:jc w:val="center"/>
      <w:rPr>
        <w:color w:val="333333"/>
        <w:rtl/>
      </w:rPr>
    </w:pPr>
  </w:p>
  <w:p w14:paraId="78AC7CE2" w14:textId="77777777" w:rsidR="00871869" w:rsidRPr="006F3984" w:rsidRDefault="00871869" w:rsidP="00871869">
    <w:pPr>
      <w:pStyle w:val="a6"/>
    </w:pPr>
  </w:p>
  <w:p w14:paraId="02AD90E8" w14:textId="77777777" w:rsidR="00871869" w:rsidRDefault="008718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BD"/>
    <w:multiLevelType w:val="hybridMultilevel"/>
    <w:tmpl w:val="82E02C44"/>
    <w:lvl w:ilvl="0" w:tplc="D31EA12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7C7C6E"/>
    <w:multiLevelType w:val="hybridMultilevel"/>
    <w:tmpl w:val="BC468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9F481D"/>
    <w:multiLevelType w:val="hybridMultilevel"/>
    <w:tmpl w:val="A17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51CD"/>
    <w:multiLevelType w:val="hybridMultilevel"/>
    <w:tmpl w:val="DB306B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CBA7595"/>
    <w:multiLevelType w:val="hybridMultilevel"/>
    <w:tmpl w:val="6FFEF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A0C60"/>
    <w:multiLevelType w:val="hybridMultilevel"/>
    <w:tmpl w:val="007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39B4"/>
    <w:multiLevelType w:val="hybridMultilevel"/>
    <w:tmpl w:val="3C40B31E"/>
    <w:lvl w:ilvl="0" w:tplc="172C4638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8BA5CEF"/>
    <w:multiLevelType w:val="hybridMultilevel"/>
    <w:tmpl w:val="01300B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B857F59"/>
    <w:multiLevelType w:val="hybridMultilevel"/>
    <w:tmpl w:val="A8C29F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5445C02"/>
    <w:multiLevelType w:val="hybridMultilevel"/>
    <w:tmpl w:val="699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CDF"/>
    <w:multiLevelType w:val="hybridMultilevel"/>
    <w:tmpl w:val="DE5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25D"/>
    <w:multiLevelType w:val="hybridMultilevel"/>
    <w:tmpl w:val="1B3C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013E"/>
    <w:multiLevelType w:val="hybridMultilevel"/>
    <w:tmpl w:val="97C6FB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33B2CE6"/>
    <w:multiLevelType w:val="hybridMultilevel"/>
    <w:tmpl w:val="7D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84A84"/>
    <w:multiLevelType w:val="hybridMultilevel"/>
    <w:tmpl w:val="AD6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0D59"/>
    <w:multiLevelType w:val="hybridMultilevel"/>
    <w:tmpl w:val="9C5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71A"/>
    <w:multiLevelType w:val="hybridMultilevel"/>
    <w:tmpl w:val="3BE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17EB"/>
    <w:multiLevelType w:val="hybridMultilevel"/>
    <w:tmpl w:val="6C66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4BFB"/>
    <w:multiLevelType w:val="hybridMultilevel"/>
    <w:tmpl w:val="1E88C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0FE54B4"/>
    <w:multiLevelType w:val="hybridMultilevel"/>
    <w:tmpl w:val="79E48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7330B4A"/>
    <w:multiLevelType w:val="hybridMultilevel"/>
    <w:tmpl w:val="9962B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9206B3A"/>
    <w:multiLevelType w:val="hybridMultilevel"/>
    <w:tmpl w:val="D45E9B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AA47DBA"/>
    <w:multiLevelType w:val="hybridMultilevel"/>
    <w:tmpl w:val="1698300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3BA33AE"/>
    <w:multiLevelType w:val="hybridMultilevel"/>
    <w:tmpl w:val="C910FB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7323ABC"/>
    <w:multiLevelType w:val="hybridMultilevel"/>
    <w:tmpl w:val="DFDC9A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1C564D8"/>
    <w:multiLevelType w:val="hybridMultilevel"/>
    <w:tmpl w:val="042EA2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D241EC1"/>
    <w:multiLevelType w:val="hybridMultilevel"/>
    <w:tmpl w:val="2CD450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10"/>
  </w:num>
  <w:num w:numId="5">
    <w:abstractNumId w:val="20"/>
  </w:num>
  <w:num w:numId="6">
    <w:abstractNumId w:val="1"/>
  </w:num>
  <w:num w:numId="7">
    <w:abstractNumId w:val="18"/>
  </w:num>
  <w:num w:numId="8">
    <w:abstractNumId w:val="22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21"/>
  </w:num>
  <w:num w:numId="20">
    <w:abstractNumId w:val="3"/>
  </w:num>
  <w:num w:numId="21">
    <w:abstractNumId w:val="26"/>
  </w:num>
  <w:num w:numId="22">
    <w:abstractNumId w:val="8"/>
  </w:num>
  <w:num w:numId="23">
    <w:abstractNumId w:val="6"/>
  </w:num>
  <w:num w:numId="24">
    <w:abstractNumId w:val="2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DOwNLc0Mjc3NLZU0lEKTi0uzszPAykwqgUAVLxbEiwAAAA="/>
  </w:docVars>
  <w:rsids>
    <w:rsidRoot w:val="00F84C4D"/>
    <w:rsid w:val="00011199"/>
    <w:rsid w:val="00016905"/>
    <w:rsid w:val="00021F99"/>
    <w:rsid w:val="00025CDF"/>
    <w:rsid w:val="000469DF"/>
    <w:rsid w:val="0004793F"/>
    <w:rsid w:val="000605F0"/>
    <w:rsid w:val="0007055C"/>
    <w:rsid w:val="00090DD3"/>
    <w:rsid w:val="000A400C"/>
    <w:rsid w:val="000B4EDD"/>
    <w:rsid w:val="000B6734"/>
    <w:rsid w:val="000C1003"/>
    <w:rsid w:val="000D257C"/>
    <w:rsid w:val="000D35D8"/>
    <w:rsid w:val="000D6A95"/>
    <w:rsid w:val="000E233B"/>
    <w:rsid w:val="000E2DEA"/>
    <w:rsid w:val="000F1475"/>
    <w:rsid w:val="00107D06"/>
    <w:rsid w:val="001269AE"/>
    <w:rsid w:val="00142176"/>
    <w:rsid w:val="00147BBD"/>
    <w:rsid w:val="00161AF1"/>
    <w:rsid w:val="00162D83"/>
    <w:rsid w:val="00167205"/>
    <w:rsid w:val="00173D74"/>
    <w:rsid w:val="00177C33"/>
    <w:rsid w:val="001843DA"/>
    <w:rsid w:val="001845B2"/>
    <w:rsid w:val="001A19DE"/>
    <w:rsid w:val="001A6660"/>
    <w:rsid w:val="001A6FCE"/>
    <w:rsid w:val="001B458F"/>
    <w:rsid w:val="001D674E"/>
    <w:rsid w:val="001E5CBA"/>
    <w:rsid w:val="00203D14"/>
    <w:rsid w:val="00211500"/>
    <w:rsid w:val="00211C1C"/>
    <w:rsid w:val="00212EC0"/>
    <w:rsid w:val="00235F6E"/>
    <w:rsid w:val="002372B0"/>
    <w:rsid w:val="00243524"/>
    <w:rsid w:val="00263C01"/>
    <w:rsid w:val="00267655"/>
    <w:rsid w:val="00270EFF"/>
    <w:rsid w:val="00272669"/>
    <w:rsid w:val="002A5FD5"/>
    <w:rsid w:val="002B33C7"/>
    <w:rsid w:val="002B4209"/>
    <w:rsid w:val="002C0E87"/>
    <w:rsid w:val="002C4661"/>
    <w:rsid w:val="002C5A53"/>
    <w:rsid w:val="002F7B7A"/>
    <w:rsid w:val="00300794"/>
    <w:rsid w:val="0031390A"/>
    <w:rsid w:val="00320B6F"/>
    <w:rsid w:val="00320DF2"/>
    <w:rsid w:val="00325D42"/>
    <w:rsid w:val="00326639"/>
    <w:rsid w:val="00330D20"/>
    <w:rsid w:val="00333492"/>
    <w:rsid w:val="00360207"/>
    <w:rsid w:val="00360BD7"/>
    <w:rsid w:val="003624F7"/>
    <w:rsid w:val="0036405D"/>
    <w:rsid w:val="003A46AF"/>
    <w:rsid w:val="003A583B"/>
    <w:rsid w:val="003A5F8C"/>
    <w:rsid w:val="003B59E6"/>
    <w:rsid w:val="003D4A60"/>
    <w:rsid w:val="003E2017"/>
    <w:rsid w:val="003F43BE"/>
    <w:rsid w:val="003F6A7C"/>
    <w:rsid w:val="00401310"/>
    <w:rsid w:val="00406FDF"/>
    <w:rsid w:val="00421A40"/>
    <w:rsid w:val="004260CE"/>
    <w:rsid w:val="00441C3D"/>
    <w:rsid w:val="004550BE"/>
    <w:rsid w:val="00461768"/>
    <w:rsid w:val="00477B12"/>
    <w:rsid w:val="00494723"/>
    <w:rsid w:val="004C1D76"/>
    <w:rsid w:val="004C45CD"/>
    <w:rsid w:val="004F1928"/>
    <w:rsid w:val="004F31E3"/>
    <w:rsid w:val="004F794D"/>
    <w:rsid w:val="00517F16"/>
    <w:rsid w:val="00524639"/>
    <w:rsid w:val="0055043E"/>
    <w:rsid w:val="00561FC0"/>
    <w:rsid w:val="00567F76"/>
    <w:rsid w:val="005B42FA"/>
    <w:rsid w:val="005C0CEA"/>
    <w:rsid w:val="005D68A7"/>
    <w:rsid w:val="005E7801"/>
    <w:rsid w:val="005F213F"/>
    <w:rsid w:val="005F6AEB"/>
    <w:rsid w:val="00603C42"/>
    <w:rsid w:val="00607E3F"/>
    <w:rsid w:val="00612C69"/>
    <w:rsid w:val="006243AE"/>
    <w:rsid w:val="006252B0"/>
    <w:rsid w:val="00641DD2"/>
    <w:rsid w:val="00647286"/>
    <w:rsid w:val="00681387"/>
    <w:rsid w:val="00684DD7"/>
    <w:rsid w:val="00694C01"/>
    <w:rsid w:val="006A2F83"/>
    <w:rsid w:val="006A3DAE"/>
    <w:rsid w:val="006B5275"/>
    <w:rsid w:val="006F4853"/>
    <w:rsid w:val="006F5B8D"/>
    <w:rsid w:val="00703999"/>
    <w:rsid w:val="00705DD5"/>
    <w:rsid w:val="00752B48"/>
    <w:rsid w:val="007647D3"/>
    <w:rsid w:val="00772FED"/>
    <w:rsid w:val="00782805"/>
    <w:rsid w:val="007B201D"/>
    <w:rsid w:val="007B58FF"/>
    <w:rsid w:val="007D16FE"/>
    <w:rsid w:val="007D396F"/>
    <w:rsid w:val="007E513C"/>
    <w:rsid w:val="00811C8E"/>
    <w:rsid w:val="00824ABC"/>
    <w:rsid w:val="00841A77"/>
    <w:rsid w:val="00850D3E"/>
    <w:rsid w:val="00860956"/>
    <w:rsid w:val="00863560"/>
    <w:rsid w:val="00870FDD"/>
    <w:rsid w:val="00871869"/>
    <w:rsid w:val="008A5A5F"/>
    <w:rsid w:val="008B0621"/>
    <w:rsid w:val="008C1B3E"/>
    <w:rsid w:val="008C360A"/>
    <w:rsid w:val="008F1448"/>
    <w:rsid w:val="008F154E"/>
    <w:rsid w:val="008F66EF"/>
    <w:rsid w:val="0090799A"/>
    <w:rsid w:val="00925C9D"/>
    <w:rsid w:val="0094568A"/>
    <w:rsid w:val="0094585C"/>
    <w:rsid w:val="009527C4"/>
    <w:rsid w:val="00954095"/>
    <w:rsid w:val="00962675"/>
    <w:rsid w:val="00962A19"/>
    <w:rsid w:val="00975BD4"/>
    <w:rsid w:val="009812EA"/>
    <w:rsid w:val="009835FE"/>
    <w:rsid w:val="009D3F0C"/>
    <w:rsid w:val="009D4642"/>
    <w:rsid w:val="009F5697"/>
    <w:rsid w:val="00A12ECC"/>
    <w:rsid w:val="00A338D3"/>
    <w:rsid w:val="00A33C8F"/>
    <w:rsid w:val="00A564C1"/>
    <w:rsid w:val="00A617C1"/>
    <w:rsid w:val="00A73F31"/>
    <w:rsid w:val="00A73F4B"/>
    <w:rsid w:val="00AA49F0"/>
    <w:rsid w:val="00AC7009"/>
    <w:rsid w:val="00AE2F3A"/>
    <w:rsid w:val="00AF6B38"/>
    <w:rsid w:val="00B0759F"/>
    <w:rsid w:val="00B078E3"/>
    <w:rsid w:val="00B1447E"/>
    <w:rsid w:val="00B221AE"/>
    <w:rsid w:val="00B46FD0"/>
    <w:rsid w:val="00B5674A"/>
    <w:rsid w:val="00B60029"/>
    <w:rsid w:val="00B62EDD"/>
    <w:rsid w:val="00B67837"/>
    <w:rsid w:val="00B740EF"/>
    <w:rsid w:val="00B97627"/>
    <w:rsid w:val="00BA1FA1"/>
    <w:rsid w:val="00BA5397"/>
    <w:rsid w:val="00BA697A"/>
    <w:rsid w:val="00BC0099"/>
    <w:rsid w:val="00BC3DF7"/>
    <w:rsid w:val="00BD2F29"/>
    <w:rsid w:val="00BD70DD"/>
    <w:rsid w:val="00BE0BC9"/>
    <w:rsid w:val="00BE0C4F"/>
    <w:rsid w:val="00BE75E4"/>
    <w:rsid w:val="00C03B56"/>
    <w:rsid w:val="00C16788"/>
    <w:rsid w:val="00C3405D"/>
    <w:rsid w:val="00C345D1"/>
    <w:rsid w:val="00C5482F"/>
    <w:rsid w:val="00C621B6"/>
    <w:rsid w:val="00C72463"/>
    <w:rsid w:val="00C800DD"/>
    <w:rsid w:val="00C85BAD"/>
    <w:rsid w:val="00C935F8"/>
    <w:rsid w:val="00C967B5"/>
    <w:rsid w:val="00CA3589"/>
    <w:rsid w:val="00CA574E"/>
    <w:rsid w:val="00CA6906"/>
    <w:rsid w:val="00CB64E7"/>
    <w:rsid w:val="00CC163F"/>
    <w:rsid w:val="00CD604F"/>
    <w:rsid w:val="00CE4A8C"/>
    <w:rsid w:val="00CF746B"/>
    <w:rsid w:val="00D008B5"/>
    <w:rsid w:val="00D058FF"/>
    <w:rsid w:val="00D104C1"/>
    <w:rsid w:val="00D10C3E"/>
    <w:rsid w:val="00D45A81"/>
    <w:rsid w:val="00D45F7C"/>
    <w:rsid w:val="00D6156D"/>
    <w:rsid w:val="00D743AF"/>
    <w:rsid w:val="00D80128"/>
    <w:rsid w:val="00D80D04"/>
    <w:rsid w:val="00D81760"/>
    <w:rsid w:val="00D8736E"/>
    <w:rsid w:val="00D926AA"/>
    <w:rsid w:val="00D9287F"/>
    <w:rsid w:val="00D96328"/>
    <w:rsid w:val="00DA6DCC"/>
    <w:rsid w:val="00DB33AA"/>
    <w:rsid w:val="00DB716F"/>
    <w:rsid w:val="00DC0C9B"/>
    <w:rsid w:val="00DC12B0"/>
    <w:rsid w:val="00DD0AB6"/>
    <w:rsid w:val="00DD28E8"/>
    <w:rsid w:val="00DE0114"/>
    <w:rsid w:val="00DF2A1F"/>
    <w:rsid w:val="00E2336A"/>
    <w:rsid w:val="00E45B77"/>
    <w:rsid w:val="00E53F85"/>
    <w:rsid w:val="00E608CA"/>
    <w:rsid w:val="00E63F4F"/>
    <w:rsid w:val="00E70EF5"/>
    <w:rsid w:val="00E71197"/>
    <w:rsid w:val="00E72B27"/>
    <w:rsid w:val="00E75C8B"/>
    <w:rsid w:val="00E76E7B"/>
    <w:rsid w:val="00E80D33"/>
    <w:rsid w:val="00E848E7"/>
    <w:rsid w:val="00E90CE2"/>
    <w:rsid w:val="00E92965"/>
    <w:rsid w:val="00E966B4"/>
    <w:rsid w:val="00E97194"/>
    <w:rsid w:val="00EB5E8B"/>
    <w:rsid w:val="00EC0F90"/>
    <w:rsid w:val="00ED012C"/>
    <w:rsid w:val="00ED0A1B"/>
    <w:rsid w:val="00ED56AA"/>
    <w:rsid w:val="00ED5762"/>
    <w:rsid w:val="00EE0F05"/>
    <w:rsid w:val="00F000AC"/>
    <w:rsid w:val="00F21076"/>
    <w:rsid w:val="00F3247A"/>
    <w:rsid w:val="00F34CAB"/>
    <w:rsid w:val="00F37D18"/>
    <w:rsid w:val="00F40E9B"/>
    <w:rsid w:val="00F43819"/>
    <w:rsid w:val="00F557C2"/>
    <w:rsid w:val="00F61793"/>
    <w:rsid w:val="00F82CAF"/>
    <w:rsid w:val="00F84A01"/>
    <w:rsid w:val="00F84C4D"/>
    <w:rsid w:val="00F977FF"/>
    <w:rsid w:val="00FA1F79"/>
    <w:rsid w:val="00FA3A1D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4F044"/>
  <w15:chartTrackingRefBased/>
  <w15:docId w15:val="{7C517193-77EF-4313-81C9-1CD68E1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8F"/>
  </w:style>
  <w:style w:type="paragraph" w:styleId="1">
    <w:name w:val="heading 1"/>
    <w:basedOn w:val="a"/>
    <w:next w:val="a"/>
    <w:link w:val="10"/>
    <w:uiPriority w:val="9"/>
    <w:qFormat/>
    <w:rsid w:val="007D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7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4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33A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33AA"/>
    <w:rPr>
      <w:color w:val="808080"/>
      <w:shd w:val="clear" w:color="auto" w:fill="E6E6E6"/>
    </w:rPr>
  </w:style>
  <w:style w:type="paragraph" w:styleId="a3">
    <w:name w:val="Balloon Text"/>
    <w:basedOn w:val="a"/>
    <w:link w:val="a4"/>
    <w:uiPriority w:val="99"/>
    <w:semiHidden/>
    <w:unhideWhenUsed/>
    <w:rsid w:val="00C167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16788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1003"/>
    <w:pPr>
      <w:ind w:left="720"/>
      <w:contextualSpacing/>
    </w:pPr>
  </w:style>
  <w:style w:type="paragraph" w:styleId="a6">
    <w:name w:val="header"/>
    <w:basedOn w:val="a"/>
    <w:link w:val="a7"/>
    <w:unhideWhenUsed/>
    <w:rsid w:val="000C1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0C1003"/>
  </w:style>
  <w:style w:type="paragraph" w:styleId="a8">
    <w:name w:val="footer"/>
    <w:basedOn w:val="a"/>
    <w:link w:val="a9"/>
    <w:uiPriority w:val="99"/>
    <w:unhideWhenUsed/>
    <w:rsid w:val="000C1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C1003"/>
  </w:style>
  <w:style w:type="character" w:styleId="FollowedHyperlink">
    <w:name w:val="FollowedHyperlink"/>
    <w:basedOn w:val="a0"/>
    <w:uiPriority w:val="99"/>
    <w:semiHidden/>
    <w:unhideWhenUsed/>
    <w:rsid w:val="00F37D18"/>
    <w:rPr>
      <w:color w:val="954F72" w:themeColor="followedHyperlink"/>
      <w:u w:val="single"/>
    </w:rPr>
  </w:style>
  <w:style w:type="paragraph" w:customStyle="1" w:styleId="31">
    <w:name w:val="כותרת3"/>
    <w:basedOn w:val="3"/>
    <w:qFormat/>
    <w:rsid w:val="00607E3F"/>
    <w:pPr>
      <w:widowControl w:val="0"/>
      <w:bidi/>
      <w:adjustRightInd w:val="0"/>
      <w:spacing w:before="0" w:line="240" w:lineRule="auto"/>
      <w:jc w:val="both"/>
      <w:textAlignment w:val="baseline"/>
    </w:pPr>
    <w:rPr>
      <w:rFonts w:asciiTheme="minorBidi" w:hAnsiTheme="minorBidi" w:cstheme="minorBidi"/>
      <w:b/>
      <w:bCs/>
      <w:i/>
      <w:iCs/>
      <w:color w:val="auto"/>
      <w:sz w:val="22"/>
      <w:szCs w:val="22"/>
      <w:u w:val="double"/>
    </w:rPr>
  </w:style>
  <w:style w:type="character" w:customStyle="1" w:styleId="30">
    <w:name w:val="כותרת 3 תו"/>
    <w:basedOn w:val="a0"/>
    <w:link w:val="3"/>
    <w:uiPriority w:val="9"/>
    <w:rsid w:val="00607E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0F14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כותרת 1 תו"/>
    <w:basedOn w:val="a0"/>
    <w:link w:val="1"/>
    <w:uiPriority w:val="9"/>
    <w:rsid w:val="007D1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vo.co.il/law_html/Law01/055_002.htm" TargetMode="External"/><Relationship Id="rId21" Type="http://schemas.openxmlformats.org/officeDocument/2006/relationships/hyperlink" Target="http://www.the7eye.org.il/191753" TargetMode="External"/><Relationship Id="rId42" Type="http://schemas.openxmlformats.org/officeDocument/2006/relationships/hyperlink" Target="http://www.the7eye.org.il/verdicts/52696" TargetMode="External"/><Relationship Id="rId47" Type="http://schemas.openxmlformats.org/officeDocument/2006/relationships/hyperlink" Target="http://www.nevo.co.il/law_html/Law01/087_001.htm" TargetMode="External"/><Relationship Id="rId63" Type="http://schemas.openxmlformats.org/officeDocument/2006/relationships/hyperlink" Target="http://minervaextremelaw.haifa.ac.il/images/44725-12-14_State_of_Israel-vs-Shalabi-May-2015.pdf" TargetMode="External"/><Relationship Id="rId68" Type="http://schemas.openxmlformats.org/officeDocument/2006/relationships/hyperlink" Target="https://www.nevo.co.il/law_html/Law01/055_002.htm" TargetMode="External"/><Relationship Id="rId84" Type="http://schemas.openxmlformats.org/officeDocument/2006/relationships/hyperlink" Target="http://www.csc.gov.il/DataBases/Rules/Documents/200881.pdf" TargetMode="External"/><Relationship Id="rId89" Type="http://schemas.openxmlformats.org/officeDocument/2006/relationships/hyperlink" Target="https://www.kan.org.il/download/files/%D7%97%D7%95%D7%A7-%D7%94%D7%A9%D7%99%D7%93%D7%95%D7%A8-%D7%94%D7%A6%D7%99%D7%91%D7%95%D7%A8%D7%99-%D7%94%D7%99%D7%A9%D7%A8%D7%90%D7%9C%D7%99_%D7%A0%D7%95%D7%A1%D7%97-%D7%9E%D7%A2%D7%95%D7%93%D7%9B%D7%9F-%D7%90%D7%95%D7%92%D7%95%D7%A1%D7%98-16.pdf" TargetMode="External"/><Relationship Id="rId16" Type="http://schemas.openxmlformats.org/officeDocument/2006/relationships/hyperlink" Target="http://weblaw.haifa.ac.il/he/Events/ruleoflaw_localgov2014/Documents/%D7%A4%D7%A1%D7%A7-%D7%93%D7%99%D7%9F%20%D7%91%D7%AA%D7%99%D7%A7%20%D7%91%D7%92'%D7%A5%202194_06%20%D7%A9%D7%99%D7%A0%D7%95%D7%99.htm" TargetMode="External"/><Relationship Id="rId11" Type="http://schemas.openxmlformats.org/officeDocument/2006/relationships/hyperlink" Target="https://www.idi.org.il/media/4029/%D7%94%D7%A1%D7%A4%D7%A7%D7%9F-%D7%91%D7%97%D7%93%D7%A8-%D7%94%D7%97%D7%93%D7%A9%D7%95%D7%AA.pdf" TargetMode="External"/><Relationship Id="rId32" Type="http://schemas.openxmlformats.org/officeDocument/2006/relationships/hyperlink" Target="https://www.idi.org.il/books/2659" TargetMode="External"/><Relationship Id="rId37" Type="http://schemas.openxmlformats.org/officeDocument/2006/relationships/hyperlink" Target="https://foi.gov.il/" TargetMode="External"/><Relationship Id="rId53" Type="http://schemas.openxmlformats.org/officeDocument/2006/relationships/hyperlink" Target="https://he.wikipedia.org/wiki/%D7%91%D7%92%22%D7%A5_%D7%97%D7%91%D7%A8%D7%AA_%D7%A1%D7%98%D7%99%D7%99%D7%A9%D7%9F_%D7%A4%D7%99%D7%9C%D7%9D_%D7%91%D7%A2%22%D7%9E_%D7%A0%D7%92%D7%93_%D7%94%D7%9E%D7%95%D7%A2%D7%A6%D7%94_%D7%9C%D7%91%D7%99%D7%A7%D7%95%D7%A8%D7%AA_%D7%A1%D7%A8%D7%98%D7%99%D7%9D_%D7%95%D7%9E%D7%97%D7%96%D7%95%D7%AA" TargetMode="External"/><Relationship Id="rId58" Type="http://schemas.openxmlformats.org/officeDocument/2006/relationships/hyperlink" Target="http://lib.cet.ac.il/pages/item.asp?item=16353" TargetMode="External"/><Relationship Id="rId74" Type="http://schemas.openxmlformats.org/officeDocument/2006/relationships/hyperlink" Target="https://www.nevo.co.il/law_html/Law01/073_002.htm" TargetMode="External"/><Relationship Id="rId79" Type="http://schemas.openxmlformats.org/officeDocument/2006/relationships/hyperlink" Target="https://www.the7eye.org.il/ethics/27607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he7eye.org.il/ethics/3342" TargetMode="External"/><Relationship Id="rId95" Type="http://schemas.openxmlformats.org/officeDocument/2006/relationships/hyperlink" Target="http://elyon1.court.gov.il/files/10/000/017/t04/10017000.t04.pdf" TargetMode="External"/><Relationship Id="rId22" Type="http://schemas.openxmlformats.org/officeDocument/2006/relationships/hyperlink" Target="http://www.the7eye.org.il/wp-content/uploads/2015/08/1714.pdf" TargetMode="External"/><Relationship Id="rId27" Type="http://schemas.openxmlformats.org/officeDocument/2006/relationships/hyperlink" Target="http://reutersinstitute.politics.ox.ac.uk/sites/default/files/The%20State%20vs%20The%20Press%20-%20The%20Rise%20of%20Gag%20Orders%20in%20Israel.pdf" TargetMode="External"/><Relationship Id="rId43" Type="http://schemas.openxmlformats.org/officeDocument/2006/relationships/hyperlink" Target="http://elyon1.court.gov.il/files/08/450/083/w11/08083450.w11.htm" TargetMode="External"/><Relationship Id="rId48" Type="http://schemas.openxmlformats.org/officeDocument/2006/relationships/hyperlink" Target="http://www.the7eye.org.il/verdicts/3520" TargetMode="External"/><Relationship Id="rId64" Type="http://schemas.openxmlformats.org/officeDocument/2006/relationships/hyperlink" Target="https://www.nevo.co.il/law_html/Law01/073_002.htm" TargetMode="External"/><Relationship Id="rId69" Type="http://schemas.openxmlformats.org/officeDocument/2006/relationships/hyperlink" Target="http://www.nevo.co.il/law_html/Law01/305_001.htm" TargetMode="External"/><Relationship Id="rId80" Type="http://schemas.openxmlformats.org/officeDocument/2006/relationships/hyperlink" Target="https://www.the7eye.org.il/ethics/3347" TargetMode="External"/><Relationship Id="rId85" Type="http://schemas.openxmlformats.org/officeDocument/2006/relationships/hyperlink" Target="http://www.csc.gov.il/Takshir/Pages/chap.aspx?chap=3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s.aeaweb.org/doi/pdfplus/10.1257/jep.31.2.211" TargetMode="External"/><Relationship Id="rId17" Type="http://schemas.openxmlformats.org/officeDocument/2006/relationships/hyperlink" Target="https://www.idi.org.il/media/3414/reforming_israel-s_campaign_advertising_laws.pdf" TargetMode="External"/><Relationship Id="rId25" Type="http://schemas.openxmlformats.org/officeDocument/2006/relationships/hyperlink" Target="http://www.the7eye.org.il/verdicts/51130" TargetMode="External"/><Relationship Id="rId33" Type="http://schemas.openxmlformats.org/officeDocument/2006/relationships/hyperlink" Target="http://www.nevo.co.il/law_html/Law01/144M1_001.htm" TargetMode="External"/><Relationship Id="rId38" Type="http://schemas.openxmlformats.org/officeDocument/2006/relationships/hyperlink" Target="http://www.the7eye.org.il/laws/3005" TargetMode="External"/><Relationship Id="rId46" Type="http://schemas.openxmlformats.org/officeDocument/2006/relationships/hyperlink" Target="http://www.nevo.co.il/law_html/Law01/077_001.htm" TargetMode="External"/><Relationship Id="rId59" Type="http://schemas.openxmlformats.org/officeDocument/2006/relationships/hyperlink" Target="http://www.the7eye.org.il/verdicts/50837" TargetMode="External"/><Relationship Id="rId67" Type="http://schemas.openxmlformats.org/officeDocument/2006/relationships/hyperlink" Target="https://www.nevo.co.il/law_html/Law01/073_002.htm" TargetMode="External"/><Relationship Id="rId20" Type="http://schemas.openxmlformats.org/officeDocument/2006/relationships/hyperlink" Target="https://www.idi.org.il/media/3422/%D7%A6%D7%A0%D7%96%D7%95%D7%A8%D7%94-%D7%95%D7%A1%D7%95%D7%93%D7%95%D7%AA-%D7%91%D7%99%D7%98%D7%97%D7%95%D7%A0%D7%99%D7%99%D7%9D.pdf" TargetMode="External"/><Relationship Id="rId41" Type="http://schemas.openxmlformats.org/officeDocument/2006/relationships/hyperlink" Target="http://www.the7eye.org.il/verdicts/126653" TargetMode="External"/><Relationship Id="rId54" Type="http://schemas.openxmlformats.org/officeDocument/2006/relationships/hyperlink" Target="http://www.the7eye.org.il/verdicts/51120" TargetMode="External"/><Relationship Id="rId62" Type="http://schemas.openxmlformats.org/officeDocument/2006/relationships/hyperlink" Target="http://www.the7eye.org.il/verdicts/51107" TargetMode="External"/><Relationship Id="rId70" Type="http://schemas.openxmlformats.org/officeDocument/2006/relationships/hyperlink" Target="http://www.nevo.co.il/law_html/Law01/305_004.htm" TargetMode="External"/><Relationship Id="rId75" Type="http://schemas.openxmlformats.org/officeDocument/2006/relationships/hyperlink" Target="https://www.nevo.co.il/law_html/Law01/055_002.htm" TargetMode="External"/><Relationship Id="rId83" Type="http://schemas.openxmlformats.org/officeDocument/2006/relationships/hyperlink" Target="https://www.nevo.co.il/law_html/Law01/073_002.htm" TargetMode="External"/><Relationship Id="rId88" Type="http://schemas.openxmlformats.org/officeDocument/2006/relationships/hyperlink" Target="http://www.takdin.co.il/Pages/Article.aspx?artId=5269396" TargetMode="External"/><Relationship Id="rId91" Type="http://schemas.openxmlformats.org/officeDocument/2006/relationships/hyperlink" Target="https://www.the7eye.org.il/ethics/3345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evo.co.il/law_html/Law01/190_003.htm" TargetMode="External"/><Relationship Id="rId23" Type="http://schemas.openxmlformats.org/officeDocument/2006/relationships/hyperlink" Target="http://www.gpo.gov.il/media/28936/&#1499;&#1500;&#1500;&#1497;-&#1492;&#1510;&#1504;&#1494;&#1493;&#1512;&#1492;.doc" TargetMode="External"/><Relationship Id="rId28" Type="http://schemas.openxmlformats.org/officeDocument/2006/relationships/hyperlink" Target="https://www.nevo.co.il/law_html/Law01/055_128.htm" TargetMode="External"/><Relationship Id="rId36" Type="http://schemas.openxmlformats.org/officeDocument/2006/relationships/hyperlink" Target="http://www.meida.org.il/" TargetMode="External"/><Relationship Id="rId49" Type="http://schemas.openxmlformats.org/officeDocument/2006/relationships/hyperlink" Target="http://www.the7eye.org.il/verdicts/50316" TargetMode="External"/><Relationship Id="rId57" Type="http://schemas.openxmlformats.org/officeDocument/2006/relationships/hyperlink" Target="https://www.nevo.co.il/law_html/Law01/999_991.htm" TargetMode="External"/><Relationship Id="rId10" Type="http://schemas.openxmlformats.org/officeDocument/2006/relationships/hyperlink" Target="http://aunmedia.org/sites/default/files/research/mr2015/MediaReport2015%20Ch6.pdf" TargetMode="External"/><Relationship Id="rId31" Type="http://schemas.openxmlformats.org/officeDocument/2006/relationships/hyperlink" Target="http://www.idi.org.il/media/4110516/Confidentiality_of_Journalistic_Sources.pdf" TargetMode="External"/><Relationship Id="rId44" Type="http://schemas.openxmlformats.org/officeDocument/2006/relationships/hyperlink" Target="http://www.the7eye.org.il/verdicts/50680" TargetMode="External"/><Relationship Id="rId52" Type="http://schemas.openxmlformats.org/officeDocument/2006/relationships/hyperlink" Target="https://www.nevo.co.il/law_html/Law01/073_002.htm" TargetMode="External"/><Relationship Id="rId60" Type="http://schemas.openxmlformats.org/officeDocument/2006/relationships/hyperlink" Target="https://he.wikipedia.org/wiki/%D7%A4%D7%A1%D7%A7_%D7%93%D7%99%D7%9F_%D7%90%D7%9C%D7%91%D7%94_%D7%A0%D7%92%D7%93_%D7%9E%D7%93%D7%99%D7%A0%D7%AA_%D7%99%D7%A9%D7%A8%D7%90%D7%9C" TargetMode="External"/><Relationship Id="rId65" Type="http://schemas.openxmlformats.org/officeDocument/2006/relationships/hyperlink" Target="http://elyon1.court.gov.il/files/05/600/026/r05/05026600.r05.htm" TargetMode="External"/><Relationship Id="rId73" Type="http://schemas.openxmlformats.org/officeDocument/2006/relationships/hyperlink" Target="https://www.nevo.co.il/law_html/Law01/163_002.htm" TargetMode="External"/><Relationship Id="rId78" Type="http://schemas.openxmlformats.org/officeDocument/2006/relationships/hyperlink" Target="https://www.nevo.co.il/law_html/Law01/055_002.htm" TargetMode="External"/><Relationship Id="rId81" Type="http://schemas.openxmlformats.org/officeDocument/2006/relationships/hyperlink" Target="https://www.the7eye.org.il/ethics/3340" TargetMode="External"/><Relationship Id="rId86" Type="http://schemas.openxmlformats.org/officeDocument/2006/relationships/hyperlink" Target="https://www.gov.il/BlobFolder/rfp/seventy_years_management_tender/he/%D7%A0%D7%A1%D7%A4%D7%97%20%D7%93'2%20-%20%D7%94%D7%A0%D7%97%D7%99%D7%99%D7%AA%20%D7%99%D7%95%D7%A2%D7%9E%D7%A9%201.1700%20-%20%D7%9E%D7%AA%D7%9F%20%D7%97%D7%A1%D7%95%D7%AA%20%D7%A2%D7%9C%20%D7%99%D7%93%D7%99%20%D7%A2%D7%95%D7%91%D7%93%20%D7%A6%D7%99%D7%91%D7%95%D7%A8.pdf" TargetMode="External"/><Relationship Id="rId94" Type="http://schemas.openxmlformats.org/officeDocument/2006/relationships/hyperlink" Target="http://www.the7eye.org.il/verdicts/50709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di.org.il/books/19003" TargetMode="External"/><Relationship Id="rId13" Type="http://schemas.openxmlformats.org/officeDocument/2006/relationships/hyperlink" Target="https://www.law.cornell.edu/anncon/html/amdt1afrag1_user.html" TargetMode="External"/><Relationship Id="rId18" Type="http://schemas.openxmlformats.org/officeDocument/2006/relationships/hyperlink" Target="http://law.huji.ac.il/sites/default/files/law/files/53haperaklit-40-1-005.pdf" TargetMode="External"/><Relationship Id="rId39" Type="http://schemas.openxmlformats.org/officeDocument/2006/relationships/hyperlink" Target="https://www.nevo.co.il/psika_html/shalom/SH-14-03-19430-22.htm" TargetMode="External"/><Relationship Id="rId34" Type="http://schemas.openxmlformats.org/officeDocument/2006/relationships/hyperlink" Target="http://www.the7eye.org.il/verdicts/51451" TargetMode="External"/><Relationship Id="rId50" Type="http://schemas.openxmlformats.org/officeDocument/2006/relationships/hyperlink" Target="http://www.the7eye.org.il/verdicts/111632" TargetMode="External"/><Relationship Id="rId55" Type="http://schemas.openxmlformats.org/officeDocument/2006/relationships/hyperlink" Target="http://www.nevo.co.il/law_html/Law01/073_002.htm" TargetMode="External"/><Relationship Id="rId76" Type="http://schemas.openxmlformats.org/officeDocument/2006/relationships/hyperlink" Target="https://www.nevo.co.il/law_html/Law01/055_002.htm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nevo.co.il/law_html/Law01/999_168.htm" TargetMode="External"/><Relationship Id="rId92" Type="http://schemas.openxmlformats.org/officeDocument/2006/relationships/hyperlink" Target="http://mishkenot.org.il/Hebrew/docs/ethics/IMA_Kod_Reality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he7eye.org.il/verdicts/52371" TargetMode="External"/><Relationship Id="rId24" Type="http://schemas.openxmlformats.org/officeDocument/2006/relationships/hyperlink" Target="http://www.the7eye.org.il/verdicts/51238" TargetMode="External"/><Relationship Id="rId40" Type="http://schemas.openxmlformats.org/officeDocument/2006/relationships/hyperlink" Target="http://www.the7eye.org.il/verdicts/51225" TargetMode="External"/><Relationship Id="rId45" Type="http://schemas.openxmlformats.org/officeDocument/2006/relationships/hyperlink" Target="http://www.the7eye.org.il/verdicts/50694" TargetMode="External"/><Relationship Id="rId66" Type="http://schemas.openxmlformats.org/officeDocument/2006/relationships/hyperlink" Target="http://elyon1.court.gov.il/files/10/330/025/Z04/10025330.Z04.htm" TargetMode="External"/><Relationship Id="rId87" Type="http://schemas.openxmlformats.org/officeDocument/2006/relationships/hyperlink" Target="http://elyon1.court.gov.il/Files/03/970/013/a11/03013970.a11.HTM" TargetMode="External"/><Relationship Id="rId61" Type="http://schemas.openxmlformats.org/officeDocument/2006/relationships/hyperlink" Target="http://elyon1.court.gov.il/files/96/130/086/e20/96086130.e20.HTM" TargetMode="External"/><Relationship Id="rId82" Type="http://schemas.openxmlformats.org/officeDocument/2006/relationships/hyperlink" Target="http://www.the7eye.org.il/ethics/3340" TargetMode="External"/><Relationship Id="rId19" Type="http://schemas.openxmlformats.org/officeDocument/2006/relationships/hyperlink" Target="http://www.the7eye.org.il/verdicts/51234" TargetMode="External"/><Relationship Id="rId14" Type="http://schemas.openxmlformats.org/officeDocument/2006/relationships/hyperlink" Target="http://lib.cet.ac.il/pages/item.asp?item=7939" TargetMode="External"/><Relationship Id="rId30" Type="http://schemas.openxmlformats.org/officeDocument/2006/relationships/hyperlink" Target="http://mekomit.co.il/%D7%94%D7%97%D7%99%D7%A1%D7%99%D7%95%D7%9F-%D7%94%D7%A2%D7%99%D7%AA%D7%95%D7%A0%D7%90%D7%99/" TargetMode="External"/><Relationship Id="rId35" Type="http://schemas.openxmlformats.org/officeDocument/2006/relationships/hyperlink" Target="http://www.the7eye.org.il/verdicts/51445" TargetMode="External"/><Relationship Id="rId56" Type="http://schemas.openxmlformats.org/officeDocument/2006/relationships/hyperlink" Target="https://www.nevo.co.il/law_html/Law01/501_422.htm" TargetMode="External"/><Relationship Id="rId77" Type="http://schemas.openxmlformats.org/officeDocument/2006/relationships/hyperlink" Target="https://www.nevo.co.il/law_html/Law01/073_002.htm" TargetMode="External"/><Relationship Id="rId8" Type="http://schemas.openxmlformats.org/officeDocument/2006/relationships/hyperlink" Target="https://freedomhouse.org/report/freedom-press/2016/israel" TargetMode="External"/><Relationship Id="rId51" Type="http://schemas.openxmlformats.org/officeDocument/2006/relationships/hyperlink" Target="https://www.nevo.co.il/law_html/Law01/073_002.htm" TargetMode="External"/><Relationship Id="rId72" Type="http://schemas.openxmlformats.org/officeDocument/2006/relationships/hyperlink" Target="https://www.nevo.co.il/law_html/Law01/p171_009.htm" TargetMode="External"/><Relationship Id="rId93" Type="http://schemas.openxmlformats.org/officeDocument/2006/relationships/hyperlink" Target="http://www.idi.org.il/media/291931/Privacy_Book.pdf" TargetMode="Externa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dn-media.web-view.net/i/3fe3a2wa/_____1.jpg?cache=151773619024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0E4D-C969-4556-8932-E7FA03DA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3289</Words>
  <Characters>16447</Characters>
  <Application>Microsoft Office Word</Application>
  <DocSecurity>4</DocSecurity>
  <Lines>137</Lines>
  <Paragraphs>39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Motti Neiger</dc:creator>
  <cp:keywords/>
  <dc:description/>
  <cp:lastModifiedBy>ציפי פרץ</cp:lastModifiedBy>
  <cp:revision>2</cp:revision>
  <cp:lastPrinted>2019-02-20T22:07:00Z</cp:lastPrinted>
  <dcterms:created xsi:type="dcterms:W3CDTF">2020-04-26T11:25:00Z</dcterms:created>
  <dcterms:modified xsi:type="dcterms:W3CDTF">2020-04-26T11:25:00Z</dcterms:modified>
</cp:coreProperties>
</file>